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FFD46" w14:textId="77777777" w:rsidR="004B5F16" w:rsidRPr="00793D4C" w:rsidRDefault="00BF0A81" w:rsidP="00793D4C">
      <w:pPr>
        <w:jc w:val="center"/>
        <w:rPr>
          <w:rFonts w:cstheme="minorHAnsi"/>
          <w:b/>
          <w:sz w:val="22"/>
          <w:szCs w:val="22"/>
        </w:rPr>
      </w:pPr>
      <w:r w:rsidRPr="00793D4C">
        <w:rPr>
          <w:rFonts w:cstheme="minorHAnsi"/>
          <w:b/>
          <w:sz w:val="22"/>
          <w:szCs w:val="22"/>
        </w:rPr>
        <w:t>Les plans d’eau dans les écosystèmes aquatiques des PNR de Millevaches et Périgord Limousin : de la gestion à l’habité</w:t>
      </w:r>
    </w:p>
    <w:p w14:paraId="21444D9C" w14:textId="77777777" w:rsidR="002F00C2" w:rsidRPr="00793D4C" w:rsidRDefault="002F00C2" w:rsidP="00793D4C">
      <w:pPr>
        <w:jc w:val="both"/>
        <w:rPr>
          <w:rFonts w:cstheme="minorHAnsi"/>
          <w:sz w:val="22"/>
          <w:szCs w:val="22"/>
        </w:rPr>
      </w:pPr>
    </w:p>
    <w:p w14:paraId="546211CB" w14:textId="77777777" w:rsidR="002F00C2" w:rsidRPr="00793D4C" w:rsidRDefault="002F00C2" w:rsidP="00793D4C">
      <w:pPr>
        <w:jc w:val="both"/>
        <w:rPr>
          <w:rFonts w:cstheme="minorHAnsi"/>
          <w:sz w:val="22"/>
          <w:szCs w:val="22"/>
        </w:rPr>
      </w:pPr>
    </w:p>
    <w:p w14:paraId="51517475" w14:textId="77777777" w:rsidR="002F00C2" w:rsidRPr="00793D4C" w:rsidRDefault="00C77DD4" w:rsidP="00793D4C">
      <w:pPr>
        <w:jc w:val="both"/>
        <w:rPr>
          <w:rFonts w:cstheme="minorHAnsi"/>
          <w:b/>
          <w:sz w:val="22"/>
          <w:szCs w:val="22"/>
          <w:u w:val="single"/>
        </w:rPr>
      </w:pPr>
      <w:r w:rsidRPr="00793D4C">
        <w:rPr>
          <w:rFonts w:cstheme="minorHAnsi"/>
          <w:b/>
          <w:sz w:val="22"/>
          <w:szCs w:val="22"/>
          <w:u w:val="single"/>
        </w:rPr>
        <w:t>Contexte de la thèse : l’intégration dans le projet NANA</w:t>
      </w:r>
      <w:r w:rsidR="002F00C2" w:rsidRPr="00793D4C">
        <w:rPr>
          <w:rFonts w:cstheme="minorHAnsi"/>
          <w:b/>
          <w:sz w:val="22"/>
          <w:szCs w:val="22"/>
          <w:u w:val="single"/>
        </w:rPr>
        <w:t xml:space="preserve"> (financement région Nouvelle Aquitaine) : </w:t>
      </w:r>
    </w:p>
    <w:p w14:paraId="3CED92EE" w14:textId="77777777" w:rsidR="004B5F16" w:rsidRPr="00793D4C" w:rsidRDefault="004B5F16" w:rsidP="00793D4C">
      <w:pPr>
        <w:jc w:val="both"/>
        <w:rPr>
          <w:rFonts w:cstheme="minorHAnsi"/>
          <w:sz w:val="22"/>
          <w:szCs w:val="22"/>
        </w:rPr>
      </w:pPr>
      <w:r w:rsidRPr="00793D4C">
        <w:rPr>
          <w:rFonts w:cstheme="minorHAnsi"/>
          <w:sz w:val="22"/>
          <w:szCs w:val="22"/>
        </w:rPr>
        <w:t xml:space="preserve">La mise en place de la grande région Nouvelle-Aquitaine couplée </w:t>
      </w:r>
      <w:bookmarkStart w:id="0" w:name="_GoBack"/>
      <w:bookmarkEnd w:id="0"/>
      <w:r w:rsidRPr="00793D4C">
        <w:rPr>
          <w:rFonts w:cstheme="minorHAnsi"/>
          <w:sz w:val="22"/>
          <w:szCs w:val="22"/>
        </w:rPr>
        <w:t>avec le renouvellement législatif en matière de protection de la biodiversité</w:t>
      </w:r>
      <w:r w:rsidR="000851CF" w:rsidRPr="00793D4C">
        <w:rPr>
          <w:rFonts w:cstheme="minorHAnsi"/>
          <w:sz w:val="22"/>
          <w:szCs w:val="22"/>
        </w:rPr>
        <w:t xml:space="preserve"> (Loi Biodiversité, Nature et Paysage)</w:t>
      </w:r>
      <w:r w:rsidRPr="00793D4C">
        <w:rPr>
          <w:rFonts w:cstheme="minorHAnsi"/>
          <w:sz w:val="22"/>
          <w:szCs w:val="22"/>
        </w:rPr>
        <w:t xml:space="preserve"> entraine une réorganisation territoriale et institutionnelle qui bouscule les échelles de gestion de la nature et amène à repenser ces enjeux de gestion et de préservation de la biodiversité</w:t>
      </w:r>
      <w:r w:rsidR="000851CF" w:rsidRPr="00793D4C">
        <w:rPr>
          <w:rFonts w:cstheme="minorHAnsi"/>
          <w:sz w:val="22"/>
          <w:szCs w:val="22"/>
        </w:rPr>
        <w:t xml:space="preserve"> à l’échelle des territoires</w:t>
      </w:r>
      <w:r w:rsidRPr="00793D4C">
        <w:rPr>
          <w:rFonts w:cstheme="minorHAnsi"/>
          <w:sz w:val="22"/>
          <w:szCs w:val="22"/>
        </w:rPr>
        <w:t xml:space="preserve">. Le projet </w:t>
      </w:r>
      <w:r w:rsidR="009738EA">
        <w:rPr>
          <w:rFonts w:cstheme="minorHAnsi"/>
          <w:sz w:val="22"/>
          <w:szCs w:val="22"/>
        </w:rPr>
        <w:t>Nature en Nouvelle Aquitaine (</w:t>
      </w:r>
      <w:r w:rsidRPr="00793D4C">
        <w:rPr>
          <w:rFonts w:cstheme="minorHAnsi"/>
          <w:sz w:val="22"/>
          <w:szCs w:val="22"/>
        </w:rPr>
        <w:t>NANA</w:t>
      </w:r>
      <w:r w:rsidR="009738EA">
        <w:rPr>
          <w:rFonts w:cstheme="minorHAnsi"/>
          <w:sz w:val="22"/>
          <w:szCs w:val="22"/>
        </w:rPr>
        <w:t>)</w:t>
      </w:r>
      <w:r w:rsidRPr="00793D4C">
        <w:rPr>
          <w:rFonts w:cstheme="minorHAnsi"/>
          <w:sz w:val="22"/>
          <w:szCs w:val="22"/>
        </w:rPr>
        <w:t xml:space="preserve"> vise à travailler ces questionnements en interrogeant ces enjeux de gestion et de valorisation de la Nature au sein de dispositifs intégrateurs que constituent les Parcs Naturels Régionaux. Les PNR apparaissent en effet comme des espaces laboratoires où se combinent gestion de la nature et modes d’habiter permettant d’aborder les interrelations nature/société</w:t>
      </w:r>
      <w:r w:rsidR="000851CF" w:rsidRPr="00793D4C">
        <w:rPr>
          <w:rFonts w:cstheme="minorHAnsi"/>
          <w:sz w:val="22"/>
          <w:szCs w:val="22"/>
        </w:rPr>
        <w:t xml:space="preserve"> de manière dynamique et appliquée. Les territoires des PNR intègrent une grande diversité de dispositifs d’administration de la nature et sont des espaces où se cristallisent les grands débats sur les manières de gérer, restaurer, valoriser celle-ci en contexte d’incertitude fort qu’est le changement global. Les acteurs locaux </w:t>
      </w:r>
      <w:r w:rsidR="00530C49" w:rsidRPr="00793D4C">
        <w:rPr>
          <w:rFonts w:cstheme="minorHAnsi"/>
          <w:sz w:val="22"/>
          <w:szCs w:val="22"/>
        </w:rPr>
        <w:t>de la gestion sont confrontés continuellement à des questionnements complexes sur leurs pratiques de gestion, la philosophie de celle</w:t>
      </w:r>
      <w:r w:rsidR="00C77DD4" w:rsidRPr="00793D4C">
        <w:rPr>
          <w:rFonts w:cstheme="minorHAnsi"/>
          <w:sz w:val="22"/>
          <w:szCs w:val="22"/>
        </w:rPr>
        <w:t>s</w:t>
      </w:r>
      <w:r w:rsidR="00530C49" w:rsidRPr="00793D4C">
        <w:rPr>
          <w:rFonts w:cstheme="minorHAnsi"/>
          <w:sz w:val="22"/>
          <w:szCs w:val="22"/>
        </w:rPr>
        <w:t>-ci, les réponses</w:t>
      </w:r>
      <w:r w:rsidR="00C77DD4" w:rsidRPr="00793D4C">
        <w:rPr>
          <w:rFonts w:cstheme="minorHAnsi"/>
          <w:sz w:val="22"/>
          <w:szCs w:val="22"/>
        </w:rPr>
        <w:t xml:space="preserve"> innovantes et créatives à apporter. De même, ces pratiques des gestionnaires doivent constamment s’adapter et prendre en compte les demandes sociétales et intégrer aux mieux les habitants dans les processus de décision et de création des connaissances. Le projet NANA tend à accompagner la recherche-action et l’aide à la décision en matière de gestion environnementale à travers le réseau des PNR en Nouvelle Aquitaine. </w:t>
      </w:r>
    </w:p>
    <w:p w14:paraId="012A99EB" w14:textId="77777777" w:rsidR="00C77DD4" w:rsidRPr="00793D4C" w:rsidRDefault="00C77DD4" w:rsidP="00793D4C">
      <w:pPr>
        <w:jc w:val="both"/>
        <w:rPr>
          <w:rFonts w:cstheme="minorHAnsi"/>
          <w:b/>
          <w:sz w:val="22"/>
          <w:szCs w:val="22"/>
        </w:rPr>
      </w:pPr>
    </w:p>
    <w:p w14:paraId="5A5F7D99" w14:textId="77777777" w:rsidR="00C77DD4" w:rsidRPr="00793D4C" w:rsidRDefault="00C77DD4" w:rsidP="00793D4C">
      <w:pPr>
        <w:jc w:val="both"/>
        <w:rPr>
          <w:rFonts w:cstheme="minorHAnsi"/>
          <w:b/>
          <w:sz w:val="22"/>
          <w:szCs w:val="22"/>
          <w:u w:val="single"/>
        </w:rPr>
      </w:pPr>
      <w:r w:rsidRPr="00793D4C">
        <w:rPr>
          <w:rFonts w:cstheme="minorHAnsi"/>
          <w:b/>
          <w:sz w:val="22"/>
          <w:szCs w:val="22"/>
          <w:u w:val="single"/>
        </w:rPr>
        <w:t>Thèse de doctorat</w:t>
      </w:r>
    </w:p>
    <w:p w14:paraId="1C623D63" w14:textId="77777777" w:rsidR="00660C8C" w:rsidRDefault="00660C8C" w:rsidP="00793D4C">
      <w:pPr>
        <w:jc w:val="both"/>
        <w:rPr>
          <w:rFonts w:cstheme="minorHAnsi"/>
          <w:sz w:val="22"/>
          <w:szCs w:val="22"/>
        </w:rPr>
      </w:pPr>
    </w:p>
    <w:p w14:paraId="7FD9C5FE" w14:textId="77777777" w:rsidR="00C77DD4" w:rsidRPr="00793D4C" w:rsidRDefault="00C77DD4" w:rsidP="00793D4C">
      <w:pPr>
        <w:jc w:val="both"/>
        <w:rPr>
          <w:rFonts w:cstheme="minorHAnsi"/>
          <w:sz w:val="22"/>
          <w:szCs w:val="22"/>
        </w:rPr>
      </w:pPr>
      <w:r w:rsidRPr="00793D4C">
        <w:rPr>
          <w:rFonts w:cstheme="minorHAnsi"/>
          <w:sz w:val="22"/>
          <w:szCs w:val="22"/>
        </w:rPr>
        <w:t xml:space="preserve">Dans le cadre de ce programme de recherche, une thèse financée par </w:t>
      </w:r>
      <w:r w:rsidR="002F00C2" w:rsidRPr="00793D4C">
        <w:rPr>
          <w:rFonts w:cstheme="minorHAnsi"/>
          <w:sz w:val="22"/>
          <w:szCs w:val="22"/>
        </w:rPr>
        <w:t xml:space="preserve">l’Université de Limoges et </w:t>
      </w:r>
      <w:r w:rsidRPr="00793D4C">
        <w:rPr>
          <w:rFonts w:cstheme="minorHAnsi"/>
          <w:sz w:val="22"/>
          <w:szCs w:val="22"/>
        </w:rPr>
        <w:t>la région</w:t>
      </w:r>
      <w:r w:rsidR="002F00C2" w:rsidRPr="00793D4C">
        <w:rPr>
          <w:rFonts w:cstheme="minorHAnsi"/>
          <w:sz w:val="22"/>
          <w:szCs w:val="22"/>
        </w:rPr>
        <w:t xml:space="preserve"> </w:t>
      </w:r>
      <w:r w:rsidRPr="00793D4C">
        <w:rPr>
          <w:rFonts w:cstheme="minorHAnsi"/>
          <w:sz w:val="22"/>
          <w:szCs w:val="22"/>
        </w:rPr>
        <w:t>Nouvelle Aquitaine</w:t>
      </w:r>
      <w:r w:rsidR="002F00C2" w:rsidRPr="00793D4C">
        <w:rPr>
          <w:rFonts w:cstheme="minorHAnsi"/>
          <w:sz w:val="22"/>
          <w:szCs w:val="22"/>
        </w:rPr>
        <w:t xml:space="preserve"> </w:t>
      </w:r>
      <w:r w:rsidRPr="00793D4C">
        <w:rPr>
          <w:rFonts w:cstheme="minorHAnsi"/>
          <w:sz w:val="22"/>
          <w:szCs w:val="22"/>
        </w:rPr>
        <w:t xml:space="preserve">portera sur les interrelations </w:t>
      </w:r>
      <w:r w:rsidR="00AF22A0" w:rsidRPr="00793D4C">
        <w:rPr>
          <w:rFonts w:cstheme="minorHAnsi"/>
          <w:sz w:val="22"/>
          <w:szCs w:val="22"/>
        </w:rPr>
        <w:t xml:space="preserve">Humains-Environnement autour des écosystèmes aquatiques </w:t>
      </w:r>
      <w:r w:rsidR="002F00C2" w:rsidRPr="00793D4C">
        <w:rPr>
          <w:rFonts w:cstheme="minorHAnsi"/>
          <w:sz w:val="22"/>
          <w:szCs w:val="22"/>
        </w:rPr>
        <w:t>intégrant</w:t>
      </w:r>
      <w:r w:rsidR="00AF22A0" w:rsidRPr="00793D4C">
        <w:rPr>
          <w:rFonts w:cstheme="minorHAnsi"/>
          <w:sz w:val="22"/>
          <w:szCs w:val="22"/>
        </w:rPr>
        <w:t xml:space="preserve"> </w:t>
      </w:r>
      <w:r w:rsidR="00E9174B" w:rsidRPr="00793D4C">
        <w:rPr>
          <w:rFonts w:cstheme="minorHAnsi"/>
          <w:sz w:val="22"/>
          <w:szCs w:val="22"/>
        </w:rPr>
        <w:t xml:space="preserve">les </w:t>
      </w:r>
      <w:r w:rsidR="00AF22A0" w:rsidRPr="00793D4C">
        <w:rPr>
          <w:rFonts w:cstheme="minorHAnsi"/>
          <w:sz w:val="22"/>
          <w:szCs w:val="22"/>
        </w:rPr>
        <w:t xml:space="preserve">plans d’eau. </w:t>
      </w:r>
    </w:p>
    <w:p w14:paraId="608DA8F8" w14:textId="77777777" w:rsidR="00E9174B" w:rsidRPr="00793D4C" w:rsidRDefault="00E9174B" w:rsidP="00793D4C">
      <w:pPr>
        <w:jc w:val="both"/>
        <w:rPr>
          <w:rFonts w:cstheme="minorHAnsi"/>
          <w:sz w:val="22"/>
          <w:szCs w:val="22"/>
        </w:rPr>
      </w:pPr>
    </w:p>
    <w:p w14:paraId="35980A23" w14:textId="77777777" w:rsidR="002F00C2" w:rsidRPr="00793D4C" w:rsidRDefault="00CC0782" w:rsidP="00793D4C">
      <w:pPr>
        <w:autoSpaceDE w:val="0"/>
        <w:autoSpaceDN w:val="0"/>
        <w:adjustRightInd w:val="0"/>
        <w:jc w:val="both"/>
        <w:rPr>
          <w:rFonts w:eastAsia="Times New Roman" w:cstheme="minorHAnsi"/>
          <w:iCs/>
          <w:sz w:val="22"/>
          <w:szCs w:val="22"/>
          <w:lang w:eastAsia="fr-FR"/>
        </w:rPr>
      </w:pPr>
      <w:r w:rsidRPr="00793D4C">
        <w:rPr>
          <w:rFonts w:cstheme="minorHAnsi"/>
          <w:sz w:val="22"/>
          <w:szCs w:val="22"/>
        </w:rPr>
        <w:t>Les plans d’eau</w:t>
      </w:r>
      <w:r w:rsidR="00AE57AA" w:rsidRPr="00793D4C">
        <w:rPr>
          <w:rFonts w:cstheme="minorHAnsi"/>
          <w:sz w:val="22"/>
          <w:szCs w:val="22"/>
        </w:rPr>
        <w:t xml:space="preserve"> (lacs, étangs, mares)</w:t>
      </w:r>
      <w:r w:rsidRPr="00793D4C">
        <w:rPr>
          <w:rFonts w:cstheme="minorHAnsi"/>
          <w:sz w:val="22"/>
          <w:szCs w:val="22"/>
        </w:rPr>
        <w:t xml:space="preserve"> jouent un rôle majeur dans les écosystèmes</w:t>
      </w:r>
      <w:r w:rsidR="00AE57AA" w:rsidRPr="00793D4C">
        <w:rPr>
          <w:rFonts w:cstheme="minorHAnsi"/>
          <w:sz w:val="22"/>
          <w:szCs w:val="22"/>
        </w:rPr>
        <w:t xml:space="preserve"> aquatiques</w:t>
      </w:r>
      <w:r w:rsidRPr="00793D4C">
        <w:rPr>
          <w:rFonts w:cstheme="minorHAnsi"/>
          <w:sz w:val="22"/>
          <w:szCs w:val="22"/>
        </w:rPr>
        <w:t xml:space="preserve"> même si les dynamiques écologiques mais aussi sociétales à leur égard sont longtemps restés dans l’ombre</w:t>
      </w:r>
      <w:r w:rsidR="00422CD8">
        <w:rPr>
          <w:rFonts w:cstheme="minorHAnsi"/>
          <w:sz w:val="22"/>
          <w:szCs w:val="22"/>
        </w:rPr>
        <w:t xml:space="preserve"> (</w:t>
      </w:r>
      <w:proofErr w:type="spellStart"/>
      <w:r w:rsidR="00422CD8">
        <w:rPr>
          <w:rFonts w:cstheme="minorHAnsi"/>
          <w:sz w:val="22"/>
          <w:szCs w:val="22"/>
        </w:rPr>
        <w:t>Bartout</w:t>
      </w:r>
      <w:proofErr w:type="spellEnd"/>
      <w:r w:rsidR="00422CD8">
        <w:rPr>
          <w:rFonts w:cstheme="minorHAnsi"/>
          <w:sz w:val="22"/>
          <w:szCs w:val="22"/>
        </w:rPr>
        <w:t xml:space="preserve"> et </w:t>
      </w:r>
      <w:proofErr w:type="spellStart"/>
      <w:r w:rsidR="00422CD8">
        <w:rPr>
          <w:rFonts w:cstheme="minorHAnsi"/>
          <w:sz w:val="22"/>
          <w:szCs w:val="22"/>
        </w:rPr>
        <w:t>Touchart</w:t>
      </w:r>
      <w:proofErr w:type="spellEnd"/>
      <w:r w:rsidR="00422CD8">
        <w:rPr>
          <w:rFonts w:cstheme="minorHAnsi"/>
          <w:sz w:val="22"/>
          <w:szCs w:val="22"/>
        </w:rPr>
        <w:t xml:space="preserve">, 2013 ; </w:t>
      </w:r>
      <w:proofErr w:type="spellStart"/>
      <w:r w:rsidR="00422CD8">
        <w:rPr>
          <w:rFonts w:cstheme="minorHAnsi"/>
          <w:sz w:val="22"/>
          <w:szCs w:val="22"/>
        </w:rPr>
        <w:t>Bartout</w:t>
      </w:r>
      <w:proofErr w:type="spellEnd"/>
      <w:r w:rsidR="00422CD8">
        <w:rPr>
          <w:rFonts w:cstheme="minorHAnsi"/>
          <w:sz w:val="22"/>
          <w:szCs w:val="22"/>
        </w:rPr>
        <w:t>, 2016)</w:t>
      </w:r>
      <w:r w:rsidRPr="00793D4C">
        <w:rPr>
          <w:rFonts w:cstheme="minorHAnsi"/>
          <w:sz w:val="22"/>
          <w:szCs w:val="22"/>
        </w:rPr>
        <w:t xml:space="preserve">. En matière de biodiversité, Clément et </w:t>
      </w:r>
      <w:proofErr w:type="spellStart"/>
      <w:r w:rsidRPr="00793D4C">
        <w:rPr>
          <w:rFonts w:cstheme="minorHAnsi"/>
          <w:sz w:val="22"/>
          <w:szCs w:val="22"/>
        </w:rPr>
        <w:t>Aldoud</w:t>
      </w:r>
      <w:proofErr w:type="spellEnd"/>
      <w:r w:rsidRPr="00793D4C">
        <w:rPr>
          <w:rFonts w:cstheme="minorHAnsi"/>
          <w:sz w:val="22"/>
          <w:szCs w:val="22"/>
        </w:rPr>
        <w:t xml:space="preserve"> (2015) avancent notamment que « </w:t>
      </w:r>
      <w:r w:rsidRPr="00793D4C">
        <w:rPr>
          <w:rFonts w:eastAsia="Times New Roman" w:cstheme="minorHAnsi"/>
          <w:i/>
          <w:iCs/>
          <w:sz w:val="22"/>
          <w:szCs w:val="22"/>
          <w:lang w:eastAsia="fr-FR"/>
        </w:rPr>
        <w:t xml:space="preserve">les étangs accueillent 30 % des espèces protégées à statut national ou régional alors que les zones humides en général ne représentent que 3 % du territoire national : les étangs ont donc une valeur patrimoniale indubitable ». </w:t>
      </w:r>
      <w:r w:rsidRPr="00793D4C">
        <w:rPr>
          <w:rFonts w:eastAsia="Times New Roman" w:cstheme="minorHAnsi"/>
          <w:iCs/>
          <w:sz w:val="22"/>
          <w:szCs w:val="22"/>
          <w:lang w:eastAsia="fr-FR"/>
        </w:rPr>
        <w:t xml:space="preserve">Les plans d’eau ont également une importance considérable en matière de gestion de l’eau dans la mesure où ils modifient l’écoulement naturels des eaux, </w:t>
      </w:r>
      <w:r w:rsidR="00AE57AA" w:rsidRPr="00793D4C">
        <w:rPr>
          <w:rFonts w:eastAsia="Times New Roman" w:cstheme="minorHAnsi"/>
          <w:iCs/>
          <w:sz w:val="22"/>
          <w:szCs w:val="22"/>
          <w:lang w:eastAsia="fr-FR"/>
        </w:rPr>
        <w:t xml:space="preserve">et </w:t>
      </w:r>
      <w:r w:rsidRPr="00793D4C">
        <w:rPr>
          <w:rFonts w:eastAsia="Times New Roman" w:cstheme="minorHAnsi"/>
          <w:iCs/>
          <w:sz w:val="22"/>
          <w:szCs w:val="22"/>
          <w:lang w:eastAsia="fr-FR"/>
        </w:rPr>
        <w:t>peuvent avoir différentes fonctions écologiques tels que des fonctions d’épuration</w:t>
      </w:r>
      <w:r w:rsidR="002F00C2" w:rsidRPr="00793D4C">
        <w:rPr>
          <w:rFonts w:eastAsia="Times New Roman" w:cstheme="minorHAnsi"/>
          <w:iCs/>
          <w:sz w:val="22"/>
          <w:szCs w:val="22"/>
          <w:lang w:eastAsia="fr-FR"/>
        </w:rPr>
        <w:t xml:space="preserve"> et</w:t>
      </w:r>
      <w:r w:rsidRPr="00793D4C">
        <w:rPr>
          <w:rFonts w:eastAsia="Times New Roman" w:cstheme="minorHAnsi"/>
          <w:iCs/>
          <w:sz w:val="22"/>
          <w:szCs w:val="22"/>
          <w:lang w:eastAsia="fr-FR"/>
        </w:rPr>
        <w:t xml:space="preserve"> de réserve d’eau</w:t>
      </w:r>
      <w:r w:rsidR="00B6279D" w:rsidRPr="00793D4C">
        <w:rPr>
          <w:rFonts w:eastAsia="Times New Roman" w:cstheme="minorHAnsi"/>
          <w:iCs/>
          <w:sz w:val="22"/>
          <w:szCs w:val="22"/>
          <w:lang w:eastAsia="fr-FR"/>
        </w:rPr>
        <w:t xml:space="preserve"> (recharge des nappes)</w:t>
      </w:r>
      <w:r w:rsidR="00AE57AA" w:rsidRPr="00793D4C">
        <w:rPr>
          <w:rFonts w:eastAsia="Times New Roman" w:cstheme="minorHAnsi"/>
          <w:iCs/>
          <w:sz w:val="22"/>
          <w:szCs w:val="22"/>
          <w:lang w:eastAsia="fr-FR"/>
        </w:rPr>
        <w:t xml:space="preserve">. Leur présence transforme également </w:t>
      </w:r>
      <w:r w:rsidRPr="00793D4C">
        <w:rPr>
          <w:rFonts w:eastAsia="Times New Roman" w:cstheme="minorHAnsi"/>
          <w:iCs/>
          <w:sz w:val="22"/>
          <w:szCs w:val="22"/>
          <w:lang w:eastAsia="fr-FR"/>
        </w:rPr>
        <w:t>la température du système hydrique, l’oxygène</w:t>
      </w:r>
      <w:r w:rsidR="00AE57AA" w:rsidRPr="00793D4C">
        <w:rPr>
          <w:rFonts w:eastAsia="Times New Roman" w:cstheme="minorHAnsi"/>
          <w:iCs/>
          <w:sz w:val="22"/>
          <w:szCs w:val="22"/>
          <w:lang w:eastAsia="fr-FR"/>
        </w:rPr>
        <w:t xml:space="preserve"> en présence</w:t>
      </w:r>
      <w:r w:rsidRPr="00793D4C">
        <w:rPr>
          <w:rFonts w:eastAsia="Times New Roman" w:cstheme="minorHAnsi"/>
          <w:iCs/>
          <w:sz w:val="22"/>
          <w:szCs w:val="22"/>
          <w:lang w:eastAsia="fr-FR"/>
        </w:rPr>
        <w:t xml:space="preserve"> et </w:t>
      </w:r>
      <w:r w:rsidR="00AE57AA" w:rsidRPr="00793D4C">
        <w:rPr>
          <w:rFonts w:eastAsia="Times New Roman" w:cstheme="minorHAnsi"/>
          <w:iCs/>
          <w:sz w:val="22"/>
          <w:szCs w:val="22"/>
          <w:lang w:eastAsia="fr-FR"/>
        </w:rPr>
        <w:t>le taux de</w:t>
      </w:r>
      <w:r w:rsidRPr="00793D4C">
        <w:rPr>
          <w:rFonts w:eastAsia="Times New Roman" w:cstheme="minorHAnsi"/>
          <w:iCs/>
          <w:sz w:val="22"/>
          <w:szCs w:val="22"/>
          <w:lang w:eastAsia="fr-FR"/>
        </w:rPr>
        <w:t xml:space="preserve"> matières en suspension. L’ensemble de ces éléments sont aujourd’hui à prendre</w:t>
      </w:r>
      <w:r w:rsidR="00AE57AA" w:rsidRPr="00793D4C">
        <w:rPr>
          <w:rFonts w:eastAsia="Times New Roman" w:cstheme="minorHAnsi"/>
          <w:iCs/>
          <w:sz w:val="22"/>
          <w:szCs w:val="22"/>
          <w:lang w:eastAsia="fr-FR"/>
        </w:rPr>
        <w:t xml:space="preserve"> en compte</w:t>
      </w:r>
      <w:r w:rsidRPr="00793D4C">
        <w:rPr>
          <w:rFonts w:eastAsia="Times New Roman" w:cstheme="minorHAnsi"/>
          <w:iCs/>
          <w:sz w:val="22"/>
          <w:szCs w:val="22"/>
          <w:lang w:eastAsia="fr-FR"/>
        </w:rPr>
        <w:t xml:space="preserve"> par les gestionnaires</w:t>
      </w:r>
      <w:r w:rsidR="00AE57AA" w:rsidRPr="00793D4C">
        <w:rPr>
          <w:rFonts w:eastAsia="Times New Roman" w:cstheme="minorHAnsi"/>
          <w:iCs/>
          <w:sz w:val="22"/>
          <w:szCs w:val="22"/>
          <w:lang w:eastAsia="fr-FR"/>
        </w:rPr>
        <w:t xml:space="preserve"> des territoires</w:t>
      </w:r>
      <w:r w:rsidRPr="00793D4C">
        <w:rPr>
          <w:rFonts w:eastAsia="Times New Roman" w:cstheme="minorHAnsi"/>
          <w:iCs/>
          <w:sz w:val="22"/>
          <w:szCs w:val="22"/>
          <w:lang w:eastAsia="fr-FR"/>
        </w:rPr>
        <w:t xml:space="preserve"> pour atteindre l’objectif du </w:t>
      </w:r>
      <w:r w:rsidR="002F00C2" w:rsidRPr="00793D4C">
        <w:rPr>
          <w:rFonts w:eastAsia="Times New Roman" w:cstheme="minorHAnsi"/>
          <w:iCs/>
          <w:sz w:val="22"/>
          <w:szCs w:val="22"/>
          <w:lang w:eastAsia="fr-FR"/>
        </w:rPr>
        <w:t>« </w:t>
      </w:r>
      <w:r w:rsidRPr="00793D4C">
        <w:rPr>
          <w:rFonts w:eastAsia="Times New Roman" w:cstheme="minorHAnsi"/>
          <w:iCs/>
          <w:sz w:val="22"/>
          <w:szCs w:val="22"/>
          <w:lang w:eastAsia="fr-FR"/>
        </w:rPr>
        <w:t>bon état écologique</w:t>
      </w:r>
      <w:r w:rsidR="002F00C2" w:rsidRPr="00793D4C">
        <w:rPr>
          <w:rFonts w:eastAsia="Times New Roman" w:cstheme="minorHAnsi"/>
          <w:iCs/>
          <w:sz w:val="22"/>
          <w:szCs w:val="22"/>
          <w:lang w:eastAsia="fr-FR"/>
        </w:rPr>
        <w:t> »</w:t>
      </w:r>
      <w:r w:rsidRPr="00793D4C">
        <w:rPr>
          <w:rFonts w:eastAsia="Times New Roman" w:cstheme="minorHAnsi"/>
          <w:iCs/>
          <w:sz w:val="22"/>
          <w:szCs w:val="22"/>
          <w:lang w:eastAsia="fr-FR"/>
        </w:rPr>
        <w:t xml:space="preserve"> imposé par la DCE. </w:t>
      </w:r>
      <w:r w:rsidR="00AE57AA" w:rsidRPr="00793D4C">
        <w:rPr>
          <w:rFonts w:eastAsia="Times New Roman" w:cstheme="minorHAnsi"/>
          <w:iCs/>
          <w:sz w:val="22"/>
          <w:szCs w:val="22"/>
          <w:lang w:eastAsia="fr-FR"/>
        </w:rPr>
        <w:t xml:space="preserve">Les plans d’eau et leurs paysages représentent également des biens patrimoniaux chargés d’histoires, de représentations, d’attachements et de conflits pour les résidents qui investissent et habitent </w:t>
      </w:r>
      <w:r w:rsidR="00A94DB4" w:rsidRPr="00793D4C">
        <w:rPr>
          <w:rFonts w:eastAsia="Times New Roman" w:cstheme="minorHAnsi"/>
          <w:iCs/>
          <w:sz w:val="22"/>
          <w:szCs w:val="22"/>
          <w:lang w:eastAsia="fr-FR"/>
        </w:rPr>
        <w:t>les territoires alentours. Ainsi, les PNR de Millevaches et du Périgord Limousin, territoires où la présence de plans d’eau est particulièrement prégnante</w:t>
      </w:r>
      <w:r w:rsidR="002F00C2" w:rsidRPr="00793D4C">
        <w:rPr>
          <w:rFonts w:eastAsia="Times New Roman" w:cstheme="minorHAnsi"/>
          <w:iCs/>
          <w:sz w:val="22"/>
          <w:szCs w:val="22"/>
          <w:lang w:eastAsia="fr-FR"/>
        </w:rPr>
        <w:t>,</w:t>
      </w:r>
      <w:r w:rsidR="00A94DB4" w:rsidRPr="00793D4C">
        <w:rPr>
          <w:rFonts w:eastAsia="Times New Roman" w:cstheme="minorHAnsi"/>
          <w:iCs/>
          <w:sz w:val="22"/>
          <w:szCs w:val="22"/>
          <w:lang w:eastAsia="fr-FR"/>
        </w:rPr>
        <w:t xml:space="preserve"> doivent concilier les enjeux liés à la gestion et préservation des écosystèmes aquatiques avec les attentes, usages, attachements locaux développés à l’égard des plans d’eau. </w:t>
      </w:r>
    </w:p>
    <w:p w14:paraId="24C9A49A" w14:textId="77777777" w:rsidR="00736309" w:rsidRPr="00793D4C" w:rsidRDefault="00A94DB4" w:rsidP="00793D4C">
      <w:pPr>
        <w:autoSpaceDE w:val="0"/>
        <w:autoSpaceDN w:val="0"/>
        <w:adjustRightInd w:val="0"/>
        <w:jc w:val="both"/>
        <w:rPr>
          <w:rFonts w:eastAsia="Times New Roman" w:cstheme="minorHAnsi"/>
          <w:iCs/>
          <w:sz w:val="22"/>
          <w:szCs w:val="22"/>
          <w:lang w:eastAsia="fr-FR"/>
        </w:rPr>
      </w:pPr>
      <w:r w:rsidRPr="00793D4C">
        <w:rPr>
          <w:rFonts w:eastAsia="Times New Roman" w:cstheme="minorHAnsi"/>
          <w:iCs/>
          <w:sz w:val="22"/>
          <w:szCs w:val="22"/>
          <w:lang w:eastAsia="fr-FR"/>
        </w:rPr>
        <w:t xml:space="preserve">L’objectif de la thèse sera d’identifier, </w:t>
      </w:r>
      <w:r w:rsidR="00B6279D" w:rsidRPr="00793D4C">
        <w:rPr>
          <w:rFonts w:eastAsia="Times New Roman" w:cstheme="minorHAnsi"/>
          <w:iCs/>
          <w:sz w:val="22"/>
          <w:szCs w:val="22"/>
          <w:lang w:eastAsia="fr-FR"/>
        </w:rPr>
        <w:t>et</w:t>
      </w:r>
      <w:r w:rsidRPr="00793D4C">
        <w:rPr>
          <w:rFonts w:eastAsia="Times New Roman" w:cstheme="minorHAnsi"/>
          <w:iCs/>
          <w:sz w:val="22"/>
          <w:szCs w:val="22"/>
          <w:lang w:eastAsia="fr-FR"/>
        </w:rPr>
        <w:t xml:space="preserve"> </w:t>
      </w:r>
      <w:r w:rsidR="00B6279D" w:rsidRPr="00793D4C">
        <w:rPr>
          <w:rFonts w:eastAsia="Times New Roman" w:cstheme="minorHAnsi"/>
          <w:iCs/>
          <w:sz w:val="22"/>
          <w:szCs w:val="22"/>
          <w:lang w:eastAsia="fr-FR"/>
        </w:rPr>
        <w:t>d’</w:t>
      </w:r>
      <w:r w:rsidRPr="00793D4C">
        <w:rPr>
          <w:rFonts w:eastAsia="Times New Roman" w:cstheme="minorHAnsi"/>
          <w:iCs/>
          <w:sz w:val="22"/>
          <w:szCs w:val="22"/>
          <w:lang w:eastAsia="fr-FR"/>
        </w:rPr>
        <w:t xml:space="preserve">analyser les multiples </w:t>
      </w:r>
      <w:r w:rsidR="008866D0" w:rsidRPr="00793D4C">
        <w:rPr>
          <w:rFonts w:eastAsia="Times New Roman" w:cstheme="minorHAnsi"/>
          <w:iCs/>
          <w:sz w:val="22"/>
          <w:szCs w:val="22"/>
          <w:lang w:eastAsia="fr-FR"/>
        </w:rPr>
        <w:t xml:space="preserve">représentations, </w:t>
      </w:r>
      <w:r w:rsidRPr="00793D4C">
        <w:rPr>
          <w:rFonts w:eastAsia="Times New Roman" w:cstheme="minorHAnsi"/>
          <w:iCs/>
          <w:sz w:val="22"/>
          <w:szCs w:val="22"/>
          <w:lang w:eastAsia="fr-FR"/>
        </w:rPr>
        <w:t xml:space="preserve">attachements </w:t>
      </w:r>
      <w:r w:rsidR="008866D0" w:rsidRPr="00793D4C">
        <w:rPr>
          <w:rFonts w:eastAsia="Times New Roman" w:cstheme="minorHAnsi"/>
          <w:iCs/>
          <w:sz w:val="22"/>
          <w:szCs w:val="22"/>
          <w:lang w:eastAsia="fr-FR"/>
        </w:rPr>
        <w:t xml:space="preserve">et significations </w:t>
      </w:r>
      <w:r w:rsidRPr="00793D4C">
        <w:rPr>
          <w:rFonts w:eastAsia="Times New Roman" w:cstheme="minorHAnsi"/>
          <w:iCs/>
          <w:sz w:val="22"/>
          <w:szCs w:val="22"/>
          <w:lang w:eastAsia="fr-FR"/>
        </w:rPr>
        <w:t>qu</w:t>
      </w:r>
      <w:r w:rsidR="002F00C2" w:rsidRPr="00793D4C">
        <w:rPr>
          <w:rFonts w:eastAsia="Times New Roman" w:cstheme="minorHAnsi"/>
          <w:iCs/>
          <w:sz w:val="22"/>
          <w:szCs w:val="22"/>
          <w:lang w:eastAsia="fr-FR"/>
        </w:rPr>
        <w:t>e</w:t>
      </w:r>
      <w:r w:rsidRPr="00793D4C">
        <w:rPr>
          <w:rFonts w:eastAsia="Times New Roman" w:cstheme="minorHAnsi"/>
          <w:iCs/>
          <w:sz w:val="22"/>
          <w:szCs w:val="22"/>
          <w:lang w:eastAsia="fr-FR"/>
        </w:rPr>
        <w:t xml:space="preserve"> les plans d’eau suscitent au sein de ces PNR. </w:t>
      </w:r>
      <w:r w:rsidR="00B6279D" w:rsidRPr="00793D4C">
        <w:rPr>
          <w:rFonts w:eastAsia="Times New Roman" w:cstheme="minorHAnsi"/>
          <w:iCs/>
          <w:sz w:val="22"/>
          <w:szCs w:val="22"/>
          <w:lang w:eastAsia="fr-FR"/>
        </w:rPr>
        <w:t xml:space="preserve">Elle vise à </w:t>
      </w:r>
      <w:r w:rsidRPr="00793D4C">
        <w:rPr>
          <w:rFonts w:eastAsia="Times New Roman" w:cstheme="minorHAnsi"/>
          <w:iCs/>
          <w:sz w:val="22"/>
          <w:szCs w:val="22"/>
          <w:lang w:eastAsia="fr-FR"/>
        </w:rPr>
        <w:t xml:space="preserve">comprendre </w:t>
      </w:r>
      <w:r w:rsidR="00EE1936" w:rsidRPr="00793D4C">
        <w:rPr>
          <w:rFonts w:eastAsia="Times New Roman" w:cstheme="minorHAnsi"/>
          <w:iCs/>
          <w:sz w:val="22"/>
          <w:szCs w:val="22"/>
          <w:lang w:eastAsia="fr-FR"/>
        </w:rPr>
        <w:t xml:space="preserve">les facteurs qui donnent lieu </w:t>
      </w:r>
      <w:r w:rsidR="00B6279D" w:rsidRPr="00793D4C">
        <w:rPr>
          <w:rFonts w:eastAsia="Times New Roman" w:cstheme="minorHAnsi"/>
          <w:iCs/>
          <w:sz w:val="22"/>
          <w:szCs w:val="22"/>
          <w:lang w:eastAsia="fr-FR"/>
        </w:rPr>
        <w:t>aux</w:t>
      </w:r>
      <w:r w:rsidR="00EE1936" w:rsidRPr="00793D4C">
        <w:rPr>
          <w:rFonts w:eastAsia="Times New Roman" w:cstheme="minorHAnsi"/>
          <w:iCs/>
          <w:sz w:val="22"/>
          <w:szCs w:val="22"/>
          <w:lang w:eastAsia="fr-FR"/>
        </w:rPr>
        <w:t xml:space="preserve"> différentes manières d'appréhender les plans d’eau</w:t>
      </w:r>
      <w:r w:rsidR="00B6279D" w:rsidRPr="00793D4C">
        <w:rPr>
          <w:rFonts w:eastAsia="Times New Roman" w:cstheme="minorHAnsi"/>
          <w:iCs/>
          <w:sz w:val="22"/>
          <w:szCs w:val="22"/>
          <w:lang w:eastAsia="fr-FR"/>
        </w:rPr>
        <w:t xml:space="preserve"> et</w:t>
      </w:r>
      <w:r w:rsidR="00EE1936" w:rsidRPr="00793D4C">
        <w:rPr>
          <w:rFonts w:eastAsia="Times New Roman" w:cstheme="minorHAnsi"/>
          <w:iCs/>
          <w:sz w:val="22"/>
          <w:szCs w:val="22"/>
          <w:lang w:eastAsia="fr-FR"/>
        </w:rPr>
        <w:t xml:space="preserve"> </w:t>
      </w:r>
      <w:r w:rsidRPr="00793D4C">
        <w:rPr>
          <w:rFonts w:eastAsia="Times New Roman" w:cstheme="minorHAnsi"/>
          <w:iCs/>
          <w:sz w:val="22"/>
          <w:szCs w:val="22"/>
          <w:lang w:eastAsia="fr-FR"/>
        </w:rPr>
        <w:t xml:space="preserve">comment </w:t>
      </w:r>
      <w:r w:rsidR="00B6279D" w:rsidRPr="00793D4C">
        <w:rPr>
          <w:rFonts w:eastAsia="Times New Roman" w:cstheme="minorHAnsi"/>
          <w:iCs/>
          <w:sz w:val="22"/>
          <w:szCs w:val="22"/>
          <w:lang w:eastAsia="fr-FR"/>
        </w:rPr>
        <w:t>cela</w:t>
      </w:r>
      <w:r w:rsidR="007E6F16" w:rsidRPr="00793D4C">
        <w:rPr>
          <w:rFonts w:eastAsia="Times New Roman" w:cstheme="minorHAnsi"/>
          <w:iCs/>
          <w:sz w:val="22"/>
          <w:szCs w:val="22"/>
          <w:lang w:eastAsia="fr-FR"/>
        </w:rPr>
        <w:t xml:space="preserve"> peut conduire </w:t>
      </w:r>
      <w:r w:rsidR="007E6F16" w:rsidRPr="00793D4C">
        <w:rPr>
          <w:rFonts w:eastAsia="Times New Roman" w:cstheme="minorHAnsi"/>
          <w:iCs/>
          <w:sz w:val="22"/>
          <w:szCs w:val="22"/>
          <w:lang w:eastAsia="fr-FR"/>
        </w:rPr>
        <w:lastRenderedPageBreak/>
        <w:t xml:space="preserve">à des conflits de gestion ou amener à </w:t>
      </w:r>
      <w:proofErr w:type="spellStart"/>
      <w:r w:rsidR="007E6F16" w:rsidRPr="00793D4C">
        <w:rPr>
          <w:rFonts w:eastAsia="Times New Roman" w:cstheme="minorHAnsi"/>
          <w:iCs/>
          <w:sz w:val="22"/>
          <w:szCs w:val="22"/>
          <w:lang w:eastAsia="fr-FR"/>
        </w:rPr>
        <w:t>patrimonialiser</w:t>
      </w:r>
      <w:proofErr w:type="spellEnd"/>
      <w:r w:rsidR="007E6F16" w:rsidRPr="00793D4C">
        <w:rPr>
          <w:rFonts w:eastAsia="Times New Roman" w:cstheme="minorHAnsi"/>
          <w:iCs/>
          <w:sz w:val="22"/>
          <w:szCs w:val="22"/>
          <w:lang w:eastAsia="fr-FR"/>
        </w:rPr>
        <w:t xml:space="preserve"> certains écosystèmes, espèces, paysages ou activités. </w:t>
      </w:r>
    </w:p>
    <w:p w14:paraId="66BC7126" w14:textId="77777777" w:rsidR="00736309" w:rsidRPr="00793D4C" w:rsidRDefault="00736309" w:rsidP="00793D4C">
      <w:pPr>
        <w:autoSpaceDE w:val="0"/>
        <w:autoSpaceDN w:val="0"/>
        <w:adjustRightInd w:val="0"/>
        <w:jc w:val="both"/>
        <w:rPr>
          <w:rFonts w:cstheme="minorHAnsi"/>
          <w:sz w:val="22"/>
          <w:szCs w:val="22"/>
        </w:rPr>
      </w:pPr>
      <w:r w:rsidRPr="00793D4C">
        <w:rPr>
          <w:rFonts w:eastAsia="Times New Roman" w:cstheme="minorHAnsi"/>
          <w:iCs/>
          <w:sz w:val="22"/>
          <w:szCs w:val="22"/>
          <w:lang w:eastAsia="fr-FR"/>
        </w:rPr>
        <w:t xml:space="preserve">Le thésard </w:t>
      </w:r>
      <w:r w:rsidR="00845D5F">
        <w:rPr>
          <w:rFonts w:eastAsia="Times New Roman" w:cstheme="minorHAnsi"/>
          <w:iCs/>
          <w:sz w:val="22"/>
          <w:szCs w:val="22"/>
          <w:lang w:eastAsia="fr-FR"/>
        </w:rPr>
        <w:t>est invité à inscrire</w:t>
      </w:r>
      <w:r w:rsidR="00845D5F" w:rsidRPr="00793D4C">
        <w:rPr>
          <w:rFonts w:eastAsia="Times New Roman" w:cstheme="minorHAnsi"/>
          <w:iCs/>
          <w:sz w:val="22"/>
          <w:szCs w:val="22"/>
          <w:lang w:eastAsia="fr-FR"/>
        </w:rPr>
        <w:t xml:space="preserve"> </w:t>
      </w:r>
      <w:r w:rsidRPr="00793D4C">
        <w:rPr>
          <w:rFonts w:eastAsia="Times New Roman" w:cstheme="minorHAnsi"/>
          <w:iCs/>
          <w:sz w:val="22"/>
          <w:szCs w:val="22"/>
          <w:lang w:eastAsia="fr-FR"/>
        </w:rPr>
        <w:t xml:space="preserve">son approche de recherche dans le cadre </w:t>
      </w:r>
      <w:r w:rsidRPr="00793D4C">
        <w:rPr>
          <w:rFonts w:cstheme="minorHAnsi"/>
          <w:sz w:val="22"/>
          <w:szCs w:val="22"/>
        </w:rPr>
        <w:t xml:space="preserve">théorique proposé par </w:t>
      </w:r>
      <w:r w:rsidR="008B4002" w:rsidRPr="00793D4C">
        <w:rPr>
          <w:rFonts w:cstheme="minorHAnsi"/>
          <w:sz w:val="22"/>
          <w:szCs w:val="22"/>
        </w:rPr>
        <w:t>l’anthropologue</w:t>
      </w:r>
      <w:r w:rsidR="00EE1936" w:rsidRPr="00793D4C">
        <w:rPr>
          <w:rFonts w:cstheme="minorHAnsi"/>
          <w:sz w:val="22"/>
          <w:szCs w:val="22"/>
        </w:rPr>
        <w:t xml:space="preserve"> </w:t>
      </w:r>
      <w:r w:rsidRPr="00793D4C">
        <w:rPr>
          <w:rFonts w:cstheme="minorHAnsi"/>
          <w:sz w:val="22"/>
          <w:szCs w:val="22"/>
        </w:rPr>
        <w:t>Tim Ingold. Mobilisant les travaux de la psychologie environnementale de James Gibson et de la phénoménologie de Maurice Merleau-Ponty, Ingold distingue deux manières d’envisager les interrelations entre les humains et leur environnement : il est possible d’appréhender l’environnement selon une «perspective de construction» qui se traduit par une objectivation des lieux à travers l’acquisition de connaissances fondées sur une distanciation corporelle et émotionnelle ; cette approche se distingue de la «perspective d'habitation» qui implique la prise en compte et la construction des liens à l’environnement à travers des pratiques corporelles d’habitation fondées sur l’engagement perceptif des individus.</w:t>
      </w:r>
      <w:r w:rsidR="002F00C2" w:rsidRPr="00793D4C">
        <w:rPr>
          <w:rFonts w:cstheme="minorHAnsi"/>
          <w:sz w:val="22"/>
          <w:szCs w:val="22"/>
        </w:rPr>
        <w:t xml:space="preserve"> </w:t>
      </w:r>
      <w:r w:rsidRPr="00793D4C">
        <w:rPr>
          <w:rFonts w:cstheme="minorHAnsi"/>
          <w:sz w:val="22"/>
          <w:szCs w:val="22"/>
        </w:rPr>
        <w:t>L’opposition de ces différentes perspectives fonde généralement les divergences de point de vue et d’actions autour d’enjeux environnementaux et se traduit par différents choix en matière de gestion environnementale. Leur prise en compte peut, à l’inverse, conduire à une meilleure compréhension de la dynamique de ces controverses et in fine contribuer à leur résolution.</w:t>
      </w:r>
    </w:p>
    <w:p w14:paraId="664DAA66" w14:textId="77777777" w:rsidR="00CC0782" w:rsidRPr="00793D4C" w:rsidRDefault="0004461C" w:rsidP="00793D4C">
      <w:pPr>
        <w:autoSpaceDE w:val="0"/>
        <w:autoSpaceDN w:val="0"/>
        <w:adjustRightInd w:val="0"/>
        <w:jc w:val="both"/>
        <w:rPr>
          <w:rFonts w:eastAsia="Times New Roman" w:cstheme="minorHAnsi"/>
          <w:iCs/>
          <w:sz w:val="22"/>
          <w:szCs w:val="22"/>
          <w:lang w:eastAsia="fr-FR"/>
        </w:rPr>
      </w:pPr>
      <w:r w:rsidRPr="00793D4C">
        <w:rPr>
          <w:rFonts w:cstheme="minorHAnsi"/>
          <w:sz w:val="22"/>
          <w:szCs w:val="22"/>
        </w:rPr>
        <w:t>C</w:t>
      </w:r>
      <w:r w:rsidR="00736309" w:rsidRPr="00793D4C">
        <w:rPr>
          <w:rFonts w:cstheme="minorHAnsi"/>
          <w:sz w:val="22"/>
          <w:szCs w:val="22"/>
        </w:rPr>
        <w:t xml:space="preserve">es différentes perspectives ont surtout été étudiées afin de savoir comment concilier différents types de connaissances intervenant dans la gestion de l'environnement. Les exemples classiques incluent les efforts faits pour réconcilier les savoirs « traditionnels » et « locaux » avec les connaissances « scientifiques » en matière de gestion environnementale. </w:t>
      </w:r>
      <w:r w:rsidR="00FD3694" w:rsidRPr="00793D4C">
        <w:rPr>
          <w:rFonts w:cstheme="minorHAnsi"/>
          <w:sz w:val="22"/>
          <w:szCs w:val="22"/>
        </w:rPr>
        <w:t xml:space="preserve">Pour ce projet de thèse, nous souhaitons développer </w:t>
      </w:r>
      <w:r w:rsidR="00B6279D" w:rsidRPr="00793D4C">
        <w:rPr>
          <w:rFonts w:cstheme="minorHAnsi"/>
          <w:sz w:val="22"/>
          <w:szCs w:val="22"/>
        </w:rPr>
        <w:t>le fait</w:t>
      </w:r>
      <w:r w:rsidR="00FD3694" w:rsidRPr="00793D4C">
        <w:rPr>
          <w:rFonts w:cstheme="minorHAnsi"/>
          <w:sz w:val="22"/>
          <w:szCs w:val="22"/>
        </w:rPr>
        <w:t xml:space="preserve"> que c</w:t>
      </w:r>
      <w:r w:rsidR="00736309" w:rsidRPr="00793D4C">
        <w:rPr>
          <w:rFonts w:cstheme="minorHAnsi"/>
          <w:sz w:val="22"/>
          <w:szCs w:val="22"/>
        </w:rPr>
        <w:t xml:space="preserve">e sont </w:t>
      </w:r>
      <w:r w:rsidR="00736309" w:rsidRPr="00793D4C">
        <w:rPr>
          <w:rFonts w:cstheme="minorHAnsi"/>
          <w:i/>
          <w:iCs/>
          <w:sz w:val="22"/>
          <w:szCs w:val="22"/>
        </w:rPr>
        <w:t>ces différentes manières de s'engager avec</w:t>
      </w:r>
      <w:r w:rsidR="00736309" w:rsidRPr="00793D4C">
        <w:rPr>
          <w:rFonts w:cstheme="minorHAnsi"/>
          <w:sz w:val="22"/>
          <w:szCs w:val="22"/>
        </w:rPr>
        <w:t xml:space="preserve"> </w:t>
      </w:r>
      <w:r w:rsidR="00736309" w:rsidRPr="00793D4C">
        <w:rPr>
          <w:rFonts w:cstheme="minorHAnsi"/>
          <w:i/>
          <w:iCs/>
          <w:sz w:val="22"/>
          <w:szCs w:val="22"/>
        </w:rPr>
        <w:t>l'environnement qui donnent lieu à différentes constructions des savoirs</w:t>
      </w:r>
      <w:r w:rsidR="00736309" w:rsidRPr="00793D4C">
        <w:rPr>
          <w:rFonts w:cstheme="minorHAnsi"/>
          <w:sz w:val="22"/>
          <w:szCs w:val="22"/>
        </w:rPr>
        <w:t>. La distinction entre différents types de savoirs ne serait donc pas épistémologique mais se situerait plutôt à un niveau phénoménologique</w:t>
      </w:r>
      <w:r w:rsidR="00EE1936" w:rsidRPr="00793D4C">
        <w:rPr>
          <w:rFonts w:cstheme="minorHAnsi"/>
          <w:sz w:val="22"/>
          <w:szCs w:val="22"/>
        </w:rPr>
        <w:t>, voir ontologique</w:t>
      </w:r>
      <w:r w:rsidR="00736309" w:rsidRPr="00793D4C">
        <w:rPr>
          <w:rFonts w:cstheme="minorHAnsi"/>
          <w:sz w:val="22"/>
          <w:szCs w:val="22"/>
        </w:rPr>
        <w:t xml:space="preserve">. </w:t>
      </w:r>
      <w:r w:rsidR="00FD3694" w:rsidRPr="00793D4C">
        <w:rPr>
          <w:rFonts w:cstheme="minorHAnsi"/>
          <w:sz w:val="22"/>
          <w:szCs w:val="22"/>
        </w:rPr>
        <w:t>Il</w:t>
      </w:r>
      <w:r w:rsidR="00736309" w:rsidRPr="00793D4C">
        <w:rPr>
          <w:rFonts w:cstheme="minorHAnsi"/>
          <w:sz w:val="22"/>
          <w:szCs w:val="22"/>
        </w:rPr>
        <w:t xml:space="preserve"> faut </w:t>
      </w:r>
      <w:r w:rsidR="00FD3694" w:rsidRPr="00793D4C">
        <w:rPr>
          <w:rFonts w:cstheme="minorHAnsi"/>
          <w:sz w:val="22"/>
          <w:szCs w:val="22"/>
        </w:rPr>
        <w:t xml:space="preserve">donc </w:t>
      </w:r>
      <w:r w:rsidR="002F00C2" w:rsidRPr="00793D4C">
        <w:rPr>
          <w:rFonts w:cstheme="minorHAnsi"/>
          <w:sz w:val="22"/>
          <w:szCs w:val="22"/>
        </w:rPr>
        <w:t>aller plus loin que</w:t>
      </w:r>
      <w:r w:rsidR="00736309" w:rsidRPr="00793D4C">
        <w:rPr>
          <w:rFonts w:cstheme="minorHAnsi"/>
          <w:sz w:val="22"/>
          <w:szCs w:val="22"/>
        </w:rPr>
        <w:t xml:space="preserve"> cette question des modes de connaissance et analyser de manière globale ces différentes manières de s’engager avec</w:t>
      </w:r>
      <w:r w:rsidRPr="00793D4C">
        <w:rPr>
          <w:rFonts w:cstheme="minorHAnsi"/>
          <w:sz w:val="22"/>
          <w:szCs w:val="22"/>
        </w:rPr>
        <w:t>, ou d’être présent dans</w:t>
      </w:r>
      <w:r w:rsidR="00736309" w:rsidRPr="00793D4C">
        <w:rPr>
          <w:rFonts w:cstheme="minorHAnsi"/>
          <w:sz w:val="22"/>
          <w:szCs w:val="22"/>
        </w:rPr>
        <w:t xml:space="preserve"> l’environnement. Nous faisons l’hypothèse qu’une compréhension </w:t>
      </w:r>
      <w:r w:rsidR="00FD3694" w:rsidRPr="00793D4C">
        <w:rPr>
          <w:rFonts w:cstheme="minorHAnsi"/>
          <w:sz w:val="22"/>
          <w:szCs w:val="22"/>
        </w:rPr>
        <w:t xml:space="preserve">plus large </w:t>
      </w:r>
      <w:r w:rsidR="00736309" w:rsidRPr="00793D4C">
        <w:rPr>
          <w:rFonts w:cstheme="minorHAnsi"/>
          <w:sz w:val="22"/>
          <w:szCs w:val="22"/>
        </w:rPr>
        <w:t>des modes de gestion des écosystèmes aquatiques incluant les plans d’eau et des conflits environnementaux liés</w:t>
      </w:r>
      <w:r w:rsidR="002F00C2" w:rsidRPr="00793D4C">
        <w:rPr>
          <w:rFonts w:cstheme="minorHAnsi"/>
          <w:sz w:val="22"/>
          <w:szCs w:val="22"/>
        </w:rPr>
        <w:t>,</w:t>
      </w:r>
      <w:r w:rsidR="00736309" w:rsidRPr="00793D4C">
        <w:rPr>
          <w:rFonts w:cstheme="minorHAnsi"/>
          <w:sz w:val="22"/>
          <w:szCs w:val="22"/>
        </w:rPr>
        <w:t xml:space="preserve"> peut être acquise en les analysant à l’aulne de cette distinction fondamentale. Il est en outre suggéré que la résolution des conflits environnementaux doit inclure des moyens de reconnaître et de légitimer des manières de connaître l'environnement qui soient phénoménologiquement distincts de l'objectivisme scientifique. Ainsi, </w:t>
      </w:r>
      <w:r w:rsidR="00736309" w:rsidRPr="00793D4C">
        <w:rPr>
          <w:rFonts w:eastAsia="Times New Roman" w:cstheme="minorHAnsi"/>
          <w:iCs/>
          <w:sz w:val="22"/>
          <w:szCs w:val="22"/>
          <w:lang w:eastAsia="fr-FR"/>
        </w:rPr>
        <w:t>l</w:t>
      </w:r>
      <w:r w:rsidR="007E6F16" w:rsidRPr="00793D4C">
        <w:rPr>
          <w:rFonts w:eastAsia="Times New Roman" w:cstheme="minorHAnsi"/>
          <w:iCs/>
          <w:sz w:val="22"/>
          <w:szCs w:val="22"/>
          <w:lang w:eastAsia="fr-FR"/>
        </w:rPr>
        <w:t>a notion « d’état de référence »</w:t>
      </w:r>
      <w:r w:rsidR="00FB40E2" w:rsidRPr="00793D4C">
        <w:rPr>
          <w:rFonts w:eastAsia="Times New Roman" w:cstheme="minorHAnsi"/>
          <w:iCs/>
          <w:sz w:val="22"/>
          <w:szCs w:val="22"/>
          <w:lang w:eastAsia="fr-FR"/>
        </w:rPr>
        <w:t xml:space="preserve">, longtemps utilisé en écologie </w:t>
      </w:r>
      <w:r w:rsidR="008B4002" w:rsidRPr="00793D4C">
        <w:rPr>
          <w:rFonts w:eastAsia="Times New Roman" w:cstheme="minorHAnsi"/>
          <w:iCs/>
          <w:sz w:val="22"/>
          <w:szCs w:val="22"/>
          <w:lang w:eastAsia="fr-FR"/>
        </w:rPr>
        <w:t>et en gestion s’avère heuristique pour travailler sur les représentations de multiples acteurs (entre différents gestionnaire</w:t>
      </w:r>
      <w:r w:rsidR="0014536A" w:rsidRPr="00793D4C">
        <w:rPr>
          <w:rFonts w:eastAsia="Times New Roman" w:cstheme="minorHAnsi"/>
          <w:iCs/>
          <w:sz w:val="22"/>
          <w:szCs w:val="22"/>
          <w:lang w:eastAsia="fr-FR"/>
        </w:rPr>
        <w:t>s mais aussi entre scientifique</w:t>
      </w:r>
      <w:r w:rsidR="00B6279D" w:rsidRPr="00793D4C">
        <w:rPr>
          <w:rFonts w:eastAsia="Times New Roman" w:cstheme="minorHAnsi"/>
          <w:iCs/>
          <w:sz w:val="22"/>
          <w:szCs w:val="22"/>
          <w:lang w:eastAsia="fr-FR"/>
        </w:rPr>
        <w:t>s</w:t>
      </w:r>
      <w:r w:rsidR="0014536A" w:rsidRPr="00793D4C">
        <w:rPr>
          <w:rFonts w:eastAsia="Times New Roman" w:cstheme="minorHAnsi"/>
          <w:iCs/>
          <w:sz w:val="22"/>
          <w:szCs w:val="22"/>
          <w:lang w:eastAsia="fr-FR"/>
        </w:rPr>
        <w:t xml:space="preserve"> et</w:t>
      </w:r>
      <w:r w:rsidR="008B4002" w:rsidRPr="00793D4C">
        <w:rPr>
          <w:rFonts w:eastAsia="Times New Roman" w:cstheme="minorHAnsi"/>
          <w:iCs/>
          <w:sz w:val="22"/>
          <w:szCs w:val="22"/>
          <w:lang w:eastAsia="fr-FR"/>
        </w:rPr>
        <w:t xml:space="preserve"> habitants etc…</w:t>
      </w:r>
      <w:r w:rsidR="0014536A" w:rsidRPr="00793D4C">
        <w:rPr>
          <w:rFonts w:eastAsia="Times New Roman" w:cstheme="minorHAnsi"/>
          <w:iCs/>
          <w:sz w:val="22"/>
          <w:szCs w:val="22"/>
          <w:lang w:eastAsia="fr-FR"/>
        </w:rPr>
        <w:t>). En</w:t>
      </w:r>
      <w:r w:rsidR="008B4002" w:rsidRPr="00793D4C">
        <w:rPr>
          <w:rFonts w:eastAsia="Times New Roman" w:cstheme="minorHAnsi"/>
          <w:iCs/>
          <w:sz w:val="22"/>
          <w:szCs w:val="22"/>
          <w:lang w:eastAsia="fr-FR"/>
        </w:rPr>
        <w:t xml:space="preserve"> effet, le contenu de </w:t>
      </w:r>
      <w:r w:rsidR="0014536A" w:rsidRPr="00793D4C">
        <w:rPr>
          <w:rFonts w:eastAsia="Times New Roman" w:cstheme="minorHAnsi"/>
          <w:iCs/>
          <w:sz w:val="22"/>
          <w:szCs w:val="22"/>
          <w:lang w:eastAsia="fr-FR"/>
        </w:rPr>
        <w:t>« </w:t>
      </w:r>
      <w:r w:rsidR="008B4002" w:rsidRPr="00793D4C">
        <w:rPr>
          <w:rFonts w:eastAsia="Times New Roman" w:cstheme="minorHAnsi"/>
          <w:iCs/>
          <w:sz w:val="22"/>
          <w:szCs w:val="22"/>
          <w:lang w:eastAsia="fr-FR"/>
        </w:rPr>
        <w:t>l’état de référence</w:t>
      </w:r>
      <w:r w:rsidR="0014536A" w:rsidRPr="00793D4C">
        <w:rPr>
          <w:rFonts w:eastAsia="Times New Roman" w:cstheme="minorHAnsi"/>
          <w:iCs/>
          <w:sz w:val="22"/>
          <w:szCs w:val="22"/>
          <w:lang w:eastAsia="fr-FR"/>
        </w:rPr>
        <w:t> »</w:t>
      </w:r>
      <w:r w:rsidR="008B4002" w:rsidRPr="00793D4C">
        <w:rPr>
          <w:rFonts w:eastAsia="Times New Roman" w:cstheme="minorHAnsi"/>
          <w:iCs/>
          <w:sz w:val="22"/>
          <w:szCs w:val="22"/>
          <w:lang w:eastAsia="fr-FR"/>
        </w:rPr>
        <w:t xml:space="preserve"> </w:t>
      </w:r>
      <w:r w:rsidR="00FB40E2" w:rsidRPr="00793D4C">
        <w:rPr>
          <w:rFonts w:eastAsia="Times New Roman" w:cstheme="minorHAnsi"/>
          <w:iCs/>
          <w:sz w:val="22"/>
          <w:szCs w:val="22"/>
          <w:lang w:eastAsia="fr-FR"/>
        </w:rPr>
        <w:t>reste</w:t>
      </w:r>
      <w:r w:rsidR="00736309" w:rsidRPr="00793D4C">
        <w:rPr>
          <w:rFonts w:eastAsia="Times New Roman" w:cstheme="minorHAnsi"/>
          <w:iCs/>
          <w:sz w:val="22"/>
          <w:szCs w:val="22"/>
          <w:lang w:eastAsia="fr-FR"/>
        </w:rPr>
        <w:t xml:space="preserve"> </w:t>
      </w:r>
      <w:r w:rsidR="007E6F16" w:rsidRPr="00793D4C">
        <w:rPr>
          <w:rFonts w:eastAsia="Times New Roman" w:cstheme="minorHAnsi"/>
          <w:iCs/>
          <w:sz w:val="22"/>
          <w:szCs w:val="22"/>
          <w:lang w:eastAsia="fr-FR"/>
        </w:rPr>
        <w:t>très hétérogène</w:t>
      </w:r>
      <w:r w:rsidR="0014536A" w:rsidRPr="00793D4C">
        <w:rPr>
          <w:rFonts w:eastAsia="Times New Roman" w:cstheme="minorHAnsi"/>
          <w:iCs/>
          <w:sz w:val="22"/>
          <w:szCs w:val="22"/>
          <w:lang w:eastAsia="fr-FR"/>
        </w:rPr>
        <w:t xml:space="preserve"> (</w:t>
      </w:r>
      <w:proofErr w:type="spellStart"/>
      <w:r w:rsidR="0014536A" w:rsidRPr="00793D4C">
        <w:rPr>
          <w:rFonts w:eastAsia="Times New Roman" w:cstheme="minorHAnsi"/>
          <w:iCs/>
          <w:sz w:val="22"/>
          <w:szCs w:val="22"/>
          <w:lang w:eastAsia="fr-FR"/>
        </w:rPr>
        <w:t>Davodeau</w:t>
      </w:r>
      <w:proofErr w:type="spellEnd"/>
      <w:r w:rsidR="0014536A" w:rsidRPr="00793D4C">
        <w:rPr>
          <w:rFonts w:eastAsia="Times New Roman" w:cstheme="minorHAnsi"/>
          <w:iCs/>
          <w:sz w:val="22"/>
          <w:szCs w:val="22"/>
          <w:lang w:eastAsia="fr-FR"/>
        </w:rPr>
        <w:t xml:space="preserve"> et Barrau</w:t>
      </w:r>
      <w:r w:rsidR="00B6279D" w:rsidRPr="00793D4C">
        <w:rPr>
          <w:rFonts w:eastAsia="Times New Roman" w:cstheme="minorHAnsi"/>
          <w:iCs/>
          <w:sz w:val="22"/>
          <w:szCs w:val="22"/>
          <w:lang w:eastAsia="fr-FR"/>
        </w:rPr>
        <w:t>d</w:t>
      </w:r>
      <w:r w:rsidR="0014536A" w:rsidRPr="00793D4C">
        <w:rPr>
          <w:rFonts w:eastAsia="Times New Roman" w:cstheme="minorHAnsi"/>
          <w:iCs/>
          <w:sz w:val="22"/>
          <w:szCs w:val="22"/>
          <w:lang w:eastAsia="fr-FR"/>
        </w:rPr>
        <w:t>, 2018)</w:t>
      </w:r>
      <w:r w:rsidR="008B4002" w:rsidRPr="00793D4C">
        <w:rPr>
          <w:rFonts w:eastAsia="Times New Roman" w:cstheme="minorHAnsi"/>
          <w:iCs/>
          <w:sz w:val="22"/>
          <w:szCs w:val="22"/>
          <w:lang w:eastAsia="fr-FR"/>
        </w:rPr>
        <w:t xml:space="preserve"> selon </w:t>
      </w:r>
      <w:r w:rsidR="0014536A" w:rsidRPr="00793D4C">
        <w:rPr>
          <w:rFonts w:eastAsia="Times New Roman" w:cstheme="minorHAnsi"/>
          <w:iCs/>
          <w:sz w:val="22"/>
          <w:szCs w:val="22"/>
          <w:lang w:eastAsia="fr-FR"/>
        </w:rPr>
        <w:t xml:space="preserve">les types de relation Humains-Plan d’eau auquel se réfère chaque acteur </w:t>
      </w:r>
      <w:r w:rsidR="00FB40E2" w:rsidRPr="00793D4C">
        <w:rPr>
          <w:rFonts w:eastAsia="Times New Roman" w:cstheme="minorHAnsi"/>
          <w:iCs/>
          <w:sz w:val="22"/>
          <w:szCs w:val="22"/>
          <w:lang w:eastAsia="fr-FR"/>
        </w:rPr>
        <w:t>(Moreau, 2019)</w:t>
      </w:r>
      <w:r w:rsidR="00736309" w:rsidRPr="00793D4C">
        <w:rPr>
          <w:rFonts w:eastAsia="Times New Roman" w:cstheme="minorHAnsi"/>
          <w:iCs/>
          <w:sz w:val="22"/>
          <w:szCs w:val="22"/>
          <w:lang w:eastAsia="fr-FR"/>
        </w:rPr>
        <w:t xml:space="preserve">. </w:t>
      </w:r>
      <w:r w:rsidR="002F00C2" w:rsidRPr="00793D4C">
        <w:rPr>
          <w:rFonts w:eastAsia="Times New Roman" w:cstheme="minorHAnsi"/>
          <w:iCs/>
          <w:sz w:val="22"/>
          <w:szCs w:val="22"/>
          <w:lang w:eastAsia="fr-FR"/>
        </w:rPr>
        <w:t>C’est pourquoi, l</w:t>
      </w:r>
      <w:r w:rsidR="00736309" w:rsidRPr="00793D4C">
        <w:rPr>
          <w:rFonts w:eastAsia="Times New Roman" w:cstheme="minorHAnsi"/>
          <w:iCs/>
          <w:sz w:val="22"/>
          <w:szCs w:val="22"/>
          <w:lang w:eastAsia="fr-FR"/>
        </w:rPr>
        <w:t>e doctorant s’intéressera aux différents</w:t>
      </w:r>
      <w:r w:rsidR="007E6F16" w:rsidRPr="00793D4C">
        <w:rPr>
          <w:rFonts w:eastAsia="Times New Roman" w:cstheme="minorHAnsi"/>
          <w:iCs/>
          <w:sz w:val="22"/>
          <w:szCs w:val="22"/>
          <w:lang w:eastAsia="fr-FR"/>
        </w:rPr>
        <w:t xml:space="preserve"> cadres normatifs, expériences vécues, émotions et attentes à l’égard de</w:t>
      </w:r>
      <w:r w:rsidR="00736309" w:rsidRPr="00793D4C">
        <w:rPr>
          <w:rFonts w:eastAsia="Times New Roman" w:cstheme="minorHAnsi"/>
          <w:iCs/>
          <w:sz w:val="22"/>
          <w:szCs w:val="22"/>
          <w:lang w:eastAsia="fr-FR"/>
        </w:rPr>
        <w:t>s plans d’eau, à la manière dont chacun</w:t>
      </w:r>
      <w:r w:rsidR="00FB40E2" w:rsidRPr="00793D4C">
        <w:rPr>
          <w:rFonts w:eastAsia="Times New Roman" w:cstheme="minorHAnsi"/>
          <w:iCs/>
          <w:sz w:val="22"/>
          <w:szCs w:val="22"/>
          <w:lang w:eastAsia="fr-FR"/>
        </w:rPr>
        <w:t xml:space="preserve"> </w:t>
      </w:r>
      <w:r w:rsidR="0014536A" w:rsidRPr="00793D4C">
        <w:rPr>
          <w:rFonts w:eastAsia="Times New Roman" w:cstheme="minorHAnsi"/>
          <w:iCs/>
          <w:sz w:val="22"/>
          <w:szCs w:val="22"/>
          <w:lang w:eastAsia="fr-FR"/>
        </w:rPr>
        <w:t xml:space="preserve">s’engage avec </w:t>
      </w:r>
      <w:r w:rsidR="00793D4C" w:rsidRPr="00793D4C">
        <w:rPr>
          <w:rFonts w:eastAsia="Times New Roman" w:cstheme="minorHAnsi"/>
          <w:iCs/>
          <w:sz w:val="22"/>
          <w:szCs w:val="22"/>
          <w:lang w:eastAsia="fr-FR"/>
        </w:rPr>
        <w:t>ceux-ci</w:t>
      </w:r>
      <w:r w:rsidR="007E6F16" w:rsidRPr="00793D4C">
        <w:rPr>
          <w:rFonts w:eastAsia="Times New Roman" w:cstheme="minorHAnsi"/>
          <w:iCs/>
          <w:sz w:val="22"/>
          <w:szCs w:val="22"/>
          <w:lang w:eastAsia="fr-FR"/>
        </w:rPr>
        <w:t xml:space="preserve">. </w:t>
      </w:r>
    </w:p>
    <w:p w14:paraId="4C8F04F6" w14:textId="77777777" w:rsidR="002F00C2" w:rsidRPr="00793D4C" w:rsidRDefault="002F00C2" w:rsidP="00793D4C">
      <w:pPr>
        <w:autoSpaceDE w:val="0"/>
        <w:autoSpaceDN w:val="0"/>
        <w:adjustRightInd w:val="0"/>
        <w:jc w:val="both"/>
        <w:rPr>
          <w:rFonts w:eastAsia="Times New Roman" w:cstheme="minorHAnsi"/>
          <w:iCs/>
          <w:sz w:val="22"/>
          <w:szCs w:val="22"/>
          <w:lang w:eastAsia="fr-FR"/>
        </w:rPr>
      </w:pPr>
    </w:p>
    <w:p w14:paraId="25BE3F84" w14:textId="77777777" w:rsidR="002F00C2" w:rsidRPr="00793D4C" w:rsidRDefault="002F00C2" w:rsidP="00793D4C">
      <w:pPr>
        <w:autoSpaceDE w:val="0"/>
        <w:autoSpaceDN w:val="0"/>
        <w:adjustRightInd w:val="0"/>
        <w:jc w:val="both"/>
        <w:rPr>
          <w:rFonts w:cstheme="minorHAnsi"/>
          <w:b/>
          <w:sz w:val="22"/>
          <w:szCs w:val="22"/>
          <w:u w:val="single"/>
        </w:rPr>
      </w:pPr>
      <w:r w:rsidRPr="00793D4C">
        <w:rPr>
          <w:rFonts w:cstheme="minorHAnsi"/>
          <w:b/>
          <w:sz w:val="22"/>
          <w:szCs w:val="22"/>
          <w:u w:val="single"/>
        </w:rPr>
        <w:t xml:space="preserve">Profil du candidat ou de la candidate </w:t>
      </w:r>
    </w:p>
    <w:p w14:paraId="0E975EE2" w14:textId="77777777" w:rsidR="002F00C2" w:rsidRPr="00793D4C" w:rsidRDefault="002F00C2" w:rsidP="00793D4C">
      <w:pPr>
        <w:autoSpaceDE w:val="0"/>
        <w:autoSpaceDN w:val="0"/>
        <w:adjustRightInd w:val="0"/>
        <w:jc w:val="both"/>
        <w:rPr>
          <w:rFonts w:cstheme="minorHAnsi"/>
          <w:sz w:val="22"/>
          <w:szCs w:val="22"/>
        </w:rPr>
      </w:pPr>
      <w:r w:rsidRPr="00793D4C">
        <w:rPr>
          <w:rFonts w:cstheme="minorHAnsi"/>
          <w:sz w:val="22"/>
          <w:szCs w:val="22"/>
        </w:rPr>
        <w:t>Le candidat ou la candidate doit avoir obtenu un Master recherche ou un titre équivalent en lien avec les disciplines suivantes : la géographie, l’anthropologie, la sociologie</w:t>
      </w:r>
      <w:r w:rsidR="001C022E" w:rsidRPr="00793D4C">
        <w:rPr>
          <w:rFonts w:cstheme="minorHAnsi"/>
          <w:sz w:val="22"/>
          <w:szCs w:val="22"/>
        </w:rPr>
        <w:t xml:space="preserve"> ou discipline apparentée</w:t>
      </w:r>
      <w:r w:rsidRPr="00793D4C">
        <w:rPr>
          <w:rFonts w:cstheme="minorHAnsi"/>
          <w:sz w:val="22"/>
          <w:szCs w:val="22"/>
        </w:rPr>
        <w:t xml:space="preserve">. Il ou elle </w:t>
      </w:r>
      <w:r w:rsidR="00845D5F">
        <w:rPr>
          <w:rFonts w:cstheme="minorHAnsi"/>
          <w:sz w:val="22"/>
          <w:szCs w:val="22"/>
        </w:rPr>
        <w:t xml:space="preserve">doit montrer un intérêt aux points centraux de cette thèse (approche relationnelle à l’environnement comme celle développée par </w:t>
      </w:r>
      <w:r w:rsidRPr="00793D4C">
        <w:rPr>
          <w:rFonts w:cstheme="minorHAnsi"/>
          <w:sz w:val="22"/>
          <w:szCs w:val="22"/>
        </w:rPr>
        <w:t>T. Ingold</w:t>
      </w:r>
      <w:r w:rsidR="00845D5F">
        <w:rPr>
          <w:rFonts w:cstheme="minorHAnsi"/>
          <w:sz w:val="22"/>
          <w:szCs w:val="22"/>
        </w:rPr>
        <w:t xml:space="preserve"> et intérêt pour la </w:t>
      </w:r>
      <w:r w:rsidRPr="00793D4C">
        <w:rPr>
          <w:rFonts w:cstheme="minorHAnsi"/>
          <w:sz w:val="22"/>
          <w:szCs w:val="22"/>
        </w:rPr>
        <w:t xml:space="preserve">gestion des écosystèmes aquatiques). Le candidat ou la candidate doit également faire preuve d’une grande capacité d’initiative, d’autonomie. Les compétences en langue anglaise et en techniques de recueil et traitements de données qualitatives constituent des atouts. La thèse nécessite un investissement à temps plein. </w:t>
      </w:r>
    </w:p>
    <w:p w14:paraId="601FB2DB" w14:textId="77777777" w:rsidR="002F00C2" w:rsidRPr="00793D4C" w:rsidRDefault="002F00C2" w:rsidP="00793D4C">
      <w:pPr>
        <w:autoSpaceDE w:val="0"/>
        <w:autoSpaceDN w:val="0"/>
        <w:adjustRightInd w:val="0"/>
        <w:jc w:val="both"/>
        <w:rPr>
          <w:rFonts w:eastAsia="Times New Roman" w:cstheme="minorHAnsi"/>
          <w:iCs/>
          <w:sz w:val="22"/>
          <w:szCs w:val="22"/>
          <w:lang w:eastAsia="fr-FR"/>
        </w:rPr>
      </w:pPr>
    </w:p>
    <w:p w14:paraId="3B1D6296" w14:textId="77777777" w:rsidR="00FB40E2" w:rsidRPr="00793D4C" w:rsidRDefault="00FB40E2" w:rsidP="00793D4C">
      <w:pPr>
        <w:autoSpaceDE w:val="0"/>
        <w:autoSpaceDN w:val="0"/>
        <w:adjustRightInd w:val="0"/>
        <w:jc w:val="both"/>
        <w:rPr>
          <w:rFonts w:cstheme="minorHAnsi"/>
          <w:sz w:val="22"/>
          <w:szCs w:val="22"/>
        </w:rPr>
      </w:pPr>
    </w:p>
    <w:p w14:paraId="715BE4F6" w14:textId="77777777" w:rsidR="002F00C2" w:rsidRPr="00793D4C" w:rsidRDefault="00FB40E2" w:rsidP="00793D4C">
      <w:pPr>
        <w:autoSpaceDE w:val="0"/>
        <w:autoSpaceDN w:val="0"/>
        <w:adjustRightInd w:val="0"/>
        <w:jc w:val="both"/>
        <w:rPr>
          <w:rFonts w:cstheme="minorHAnsi"/>
          <w:b/>
          <w:sz w:val="22"/>
          <w:szCs w:val="22"/>
          <w:u w:val="single"/>
        </w:rPr>
      </w:pPr>
      <w:r w:rsidRPr="00793D4C">
        <w:rPr>
          <w:rFonts w:cstheme="minorHAnsi"/>
          <w:b/>
          <w:sz w:val="22"/>
          <w:szCs w:val="22"/>
          <w:u w:val="single"/>
        </w:rPr>
        <w:t xml:space="preserve">Encadrement de la thèse et structure d’accueil : </w:t>
      </w:r>
    </w:p>
    <w:p w14:paraId="6D6BB4B7" w14:textId="77777777" w:rsidR="00FB40E2" w:rsidRPr="00793D4C" w:rsidRDefault="00FB40E2" w:rsidP="00793D4C">
      <w:pPr>
        <w:autoSpaceDE w:val="0"/>
        <w:autoSpaceDN w:val="0"/>
        <w:adjustRightInd w:val="0"/>
        <w:jc w:val="both"/>
        <w:rPr>
          <w:rFonts w:cstheme="minorHAnsi"/>
          <w:sz w:val="22"/>
          <w:szCs w:val="22"/>
        </w:rPr>
      </w:pPr>
      <w:r w:rsidRPr="00793D4C">
        <w:rPr>
          <w:rFonts w:cstheme="minorHAnsi"/>
          <w:sz w:val="22"/>
          <w:szCs w:val="22"/>
        </w:rPr>
        <w:lastRenderedPageBreak/>
        <w:t xml:space="preserve">La thèse sera </w:t>
      </w:r>
      <w:proofErr w:type="spellStart"/>
      <w:r w:rsidRPr="00793D4C">
        <w:rPr>
          <w:rFonts w:cstheme="minorHAnsi"/>
          <w:sz w:val="22"/>
          <w:szCs w:val="22"/>
        </w:rPr>
        <w:t>co</w:t>
      </w:r>
      <w:proofErr w:type="spellEnd"/>
      <w:r w:rsidRPr="00793D4C">
        <w:rPr>
          <w:rFonts w:cstheme="minorHAnsi"/>
          <w:sz w:val="22"/>
          <w:szCs w:val="22"/>
        </w:rPr>
        <w:t xml:space="preserve">-encadrée par </w:t>
      </w:r>
      <w:r w:rsidR="0014536A" w:rsidRPr="00793D4C">
        <w:rPr>
          <w:rFonts w:cstheme="minorHAnsi"/>
          <w:sz w:val="22"/>
          <w:szCs w:val="22"/>
        </w:rPr>
        <w:t>Jamie</w:t>
      </w:r>
      <w:r w:rsidR="00640633" w:rsidRPr="00793D4C">
        <w:rPr>
          <w:rFonts w:cstheme="minorHAnsi"/>
          <w:sz w:val="22"/>
          <w:szCs w:val="22"/>
        </w:rPr>
        <w:t xml:space="preserve"> </w:t>
      </w:r>
      <w:r w:rsidRPr="00793D4C">
        <w:rPr>
          <w:rFonts w:cstheme="minorHAnsi"/>
          <w:sz w:val="22"/>
          <w:szCs w:val="22"/>
        </w:rPr>
        <w:t>Linton, professeur à l’Université de Limoges</w:t>
      </w:r>
      <w:r w:rsidR="002F00C2" w:rsidRPr="00793D4C">
        <w:rPr>
          <w:rFonts w:cstheme="minorHAnsi"/>
          <w:sz w:val="22"/>
          <w:szCs w:val="22"/>
        </w:rPr>
        <w:t> ;</w:t>
      </w:r>
      <w:r w:rsidRPr="00793D4C">
        <w:rPr>
          <w:rFonts w:cstheme="minorHAnsi"/>
          <w:sz w:val="22"/>
          <w:szCs w:val="22"/>
        </w:rPr>
        <w:t xml:space="preserve"> Laine Chanteloup, Maitre de conférences à l’Université de Limoges et Régis </w:t>
      </w:r>
      <w:r w:rsidR="00EF6224" w:rsidRPr="00793D4C">
        <w:rPr>
          <w:rFonts w:cstheme="minorHAnsi"/>
          <w:sz w:val="22"/>
          <w:szCs w:val="22"/>
        </w:rPr>
        <w:t>Barrau</w:t>
      </w:r>
      <w:r w:rsidR="00EF6224">
        <w:rPr>
          <w:rFonts w:cstheme="minorHAnsi"/>
          <w:sz w:val="22"/>
          <w:szCs w:val="22"/>
        </w:rPr>
        <w:t>d</w:t>
      </w:r>
      <w:r w:rsidRPr="00793D4C">
        <w:rPr>
          <w:rFonts w:cstheme="minorHAnsi"/>
          <w:sz w:val="22"/>
          <w:szCs w:val="22"/>
        </w:rPr>
        <w:t>, Maitre de conf</w:t>
      </w:r>
      <w:r w:rsidR="002F00C2" w:rsidRPr="00793D4C">
        <w:rPr>
          <w:rFonts w:cstheme="minorHAnsi"/>
          <w:sz w:val="22"/>
          <w:szCs w:val="22"/>
        </w:rPr>
        <w:t>é</w:t>
      </w:r>
      <w:r w:rsidRPr="00793D4C">
        <w:rPr>
          <w:rFonts w:cstheme="minorHAnsi"/>
          <w:sz w:val="22"/>
          <w:szCs w:val="22"/>
        </w:rPr>
        <w:t xml:space="preserve">rences à l’Université de Poitiers. </w:t>
      </w:r>
    </w:p>
    <w:p w14:paraId="5800BA5A" w14:textId="77777777" w:rsidR="00FB40E2" w:rsidRPr="00793D4C" w:rsidRDefault="00FB40E2" w:rsidP="00793D4C">
      <w:pPr>
        <w:autoSpaceDE w:val="0"/>
        <w:autoSpaceDN w:val="0"/>
        <w:adjustRightInd w:val="0"/>
        <w:jc w:val="both"/>
        <w:rPr>
          <w:rFonts w:cstheme="minorHAnsi"/>
          <w:sz w:val="22"/>
          <w:szCs w:val="22"/>
        </w:rPr>
      </w:pPr>
      <w:r w:rsidRPr="00793D4C">
        <w:rPr>
          <w:rFonts w:cstheme="minorHAnsi"/>
          <w:sz w:val="22"/>
          <w:szCs w:val="22"/>
        </w:rPr>
        <w:t xml:space="preserve">La thèse se déroulera au sein du laboratoire GEOLAB, UMR CNRS sur le site de Limoges. </w:t>
      </w:r>
    </w:p>
    <w:p w14:paraId="2EFA01DD" w14:textId="77777777" w:rsidR="00FB40E2" w:rsidRPr="00793D4C" w:rsidRDefault="00FB40E2" w:rsidP="00793D4C">
      <w:pPr>
        <w:autoSpaceDE w:val="0"/>
        <w:autoSpaceDN w:val="0"/>
        <w:adjustRightInd w:val="0"/>
        <w:jc w:val="both"/>
        <w:rPr>
          <w:rFonts w:cstheme="minorHAnsi"/>
          <w:sz w:val="22"/>
          <w:szCs w:val="22"/>
        </w:rPr>
      </w:pPr>
    </w:p>
    <w:p w14:paraId="482635BB" w14:textId="77777777" w:rsidR="00FB40E2" w:rsidRPr="00793D4C" w:rsidRDefault="00FB40E2" w:rsidP="00793D4C">
      <w:pPr>
        <w:autoSpaceDE w:val="0"/>
        <w:autoSpaceDN w:val="0"/>
        <w:adjustRightInd w:val="0"/>
        <w:jc w:val="both"/>
        <w:rPr>
          <w:rFonts w:cstheme="minorHAnsi"/>
          <w:sz w:val="22"/>
          <w:szCs w:val="22"/>
        </w:rPr>
      </w:pPr>
    </w:p>
    <w:p w14:paraId="7CE8147B" w14:textId="77777777" w:rsidR="00FB40E2" w:rsidRPr="00793D4C" w:rsidRDefault="00FB40E2" w:rsidP="00793D4C">
      <w:pPr>
        <w:autoSpaceDE w:val="0"/>
        <w:autoSpaceDN w:val="0"/>
        <w:adjustRightInd w:val="0"/>
        <w:jc w:val="both"/>
        <w:rPr>
          <w:rFonts w:cstheme="minorHAnsi"/>
          <w:b/>
          <w:sz w:val="22"/>
          <w:szCs w:val="22"/>
          <w:u w:val="single"/>
        </w:rPr>
      </w:pPr>
      <w:r w:rsidRPr="00793D4C">
        <w:rPr>
          <w:rFonts w:cstheme="minorHAnsi"/>
          <w:b/>
          <w:sz w:val="22"/>
          <w:szCs w:val="22"/>
          <w:u w:val="single"/>
        </w:rPr>
        <w:t>Dépôt de candidature</w:t>
      </w:r>
      <w:r w:rsidR="002F00C2" w:rsidRPr="00793D4C">
        <w:rPr>
          <w:rFonts w:cstheme="minorHAnsi"/>
          <w:b/>
          <w:sz w:val="22"/>
          <w:szCs w:val="22"/>
          <w:u w:val="single"/>
        </w:rPr>
        <w:t> :</w:t>
      </w:r>
      <w:r w:rsidRPr="00793D4C">
        <w:rPr>
          <w:rFonts w:cstheme="minorHAnsi"/>
          <w:b/>
          <w:sz w:val="22"/>
          <w:szCs w:val="22"/>
          <w:u w:val="single"/>
        </w:rPr>
        <w:t xml:space="preserve"> </w:t>
      </w:r>
    </w:p>
    <w:p w14:paraId="6E66B2CF" w14:textId="77777777" w:rsidR="00FB40E2" w:rsidRDefault="00FB40E2" w:rsidP="00793D4C">
      <w:pPr>
        <w:autoSpaceDE w:val="0"/>
        <w:autoSpaceDN w:val="0"/>
        <w:adjustRightInd w:val="0"/>
        <w:jc w:val="both"/>
        <w:rPr>
          <w:rFonts w:cstheme="minorHAnsi"/>
          <w:sz w:val="22"/>
          <w:szCs w:val="22"/>
        </w:rPr>
      </w:pPr>
      <w:r w:rsidRPr="00793D4C">
        <w:rPr>
          <w:rFonts w:cstheme="minorHAnsi"/>
          <w:sz w:val="22"/>
          <w:szCs w:val="22"/>
        </w:rPr>
        <w:t xml:space="preserve">Envoyer un dossier de candidature en format PDF et adressez votre demande d’information par courriel à Monsieur </w:t>
      </w:r>
      <w:r w:rsidR="00640633" w:rsidRPr="00793D4C">
        <w:rPr>
          <w:rFonts w:cstheme="minorHAnsi"/>
          <w:sz w:val="22"/>
          <w:szCs w:val="22"/>
        </w:rPr>
        <w:t xml:space="preserve">Jamie </w:t>
      </w:r>
      <w:r w:rsidRPr="00793D4C">
        <w:rPr>
          <w:rFonts w:cstheme="minorHAnsi"/>
          <w:sz w:val="22"/>
          <w:szCs w:val="22"/>
        </w:rPr>
        <w:t>Linton</w:t>
      </w:r>
      <w:r w:rsidR="00422CD8">
        <w:rPr>
          <w:rFonts w:cstheme="minorHAnsi"/>
          <w:sz w:val="22"/>
          <w:szCs w:val="22"/>
        </w:rPr>
        <w:t xml:space="preserve">, </w:t>
      </w:r>
      <w:r w:rsidRPr="00793D4C">
        <w:rPr>
          <w:rFonts w:cstheme="minorHAnsi"/>
          <w:sz w:val="22"/>
          <w:szCs w:val="22"/>
        </w:rPr>
        <w:t xml:space="preserve">Laine Chanteloup </w:t>
      </w:r>
      <w:r w:rsidR="00422CD8">
        <w:rPr>
          <w:rFonts w:cstheme="minorHAnsi"/>
          <w:sz w:val="22"/>
          <w:szCs w:val="22"/>
        </w:rPr>
        <w:t>et Régis Barraud</w:t>
      </w:r>
    </w:p>
    <w:p w14:paraId="74E6A06A" w14:textId="77777777" w:rsidR="00462813" w:rsidRDefault="00D93C3B" w:rsidP="00793D4C">
      <w:pPr>
        <w:autoSpaceDE w:val="0"/>
        <w:autoSpaceDN w:val="0"/>
        <w:adjustRightInd w:val="0"/>
        <w:jc w:val="both"/>
        <w:rPr>
          <w:rFonts w:cstheme="minorHAnsi"/>
          <w:sz w:val="22"/>
          <w:szCs w:val="22"/>
        </w:rPr>
      </w:pPr>
      <w:hyperlink r:id="rId6" w:history="1">
        <w:r w:rsidR="00462813" w:rsidRPr="00737F0C">
          <w:rPr>
            <w:rStyle w:val="Hyperlink"/>
            <w:rFonts w:cstheme="minorHAnsi"/>
            <w:sz w:val="22"/>
            <w:szCs w:val="22"/>
          </w:rPr>
          <w:t>james.linton@unilim.fr</w:t>
        </w:r>
      </w:hyperlink>
    </w:p>
    <w:p w14:paraId="4EA4EE08" w14:textId="77777777" w:rsidR="00462813" w:rsidRDefault="00D93C3B" w:rsidP="00793D4C">
      <w:pPr>
        <w:autoSpaceDE w:val="0"/>
        <w:autoSpaceDN w:val="0"/>
        <w:adjustRightInd w:val="0"/>
        <w:jc w:val="both"/>
        <w:rPr>
          <w:rFonts w:cstheme="minorHAnsi"/>
          <w:sz w:val="22"/>
          <w:szCs w:val="22"/>
        </w:rPr>
      </w:pPr>
      <w:hyperlink r:id="rId7" w:history="1">
        <w:r w:rsidR="00422CD8" w:rsidRPr="00143BEE">
          <w:rPr>
            <w:rStyle w:val="Hyperlink"/>
            <w:rFonts w:cstheme="minorHAnsi"/>
            <w:sz w:val="22"/>
            <w:szCs w:val="22"/>
          </w:rPr>
          <w:t>laine.chanteloup@unilim.fr</w:t>
        </w:r>
      </w:hyperlink>
    </w:p>
    <w:p w14:paraId="284C758F" w14:textId="77777777" w:rsidR="00422CD8" w:rsidRDefault="00D93C3B" w:rsidP="00422CD8">
      <w:r>
        <w:fldChar w:fldCharType="begin"/>
      </w:r>
      <w:r>
        <w:instrText xml:space="preserve"> HYPERLINK "mailto:regis.barraud@univ-poitiers.fr" \t "_blank" </w:instrText>
      </w:r>
      <w:r>
        <w:fldChar w:fldCharType="separate"/>
      </w:r>
      <w:r w:rsidR="00422CD8">
        <w:rPr>
          <w:rStyle w:val="Hyperlink"/>
        </w:rPr>
        <w:t>regis.barraud@univ-poitiers.fr</w:t>
      </w:r>
      <w:r>
        <w:rPr>
          <w:rStyle w:val="Hyperlink"/>
        </w:rPr>
        <w:fldChar w:fldCharType="end"/>
      </w:r>
    </w:p>
    <w:p w14:paraId="1846C1D3" w14:textId="77777777" w:rsidR="00422CD8" w:rsidRPr="00793D4C" w:rsidRDefault="00422CD8" w:rsidP="00793D4C">
      <w:pPr>
        <w:autoSpaceDE w:val="0"/>
        <w:autoSpaceDN w:val="0"/>
        <w:adjustRightInd w:val="0"/>
        <w:jc w:val="both"/>
        <w:rPr>
          <w:rFonts w:cstheme="minorHAnsi"/>
          <w:sz w:val="22"/>
          <w:szCs w:val="22"/>
        </w:rPr>
      </w:pPr>
    </w:p>
    <w:p w14:paraId="6D866B14" w14:textId="77777777" w:rsidR="00FB40E2" w:rsidRPr="00793D4C" w:rsidRDefault="00FB40E2" w:rsidP="00793D4C">
      <w:pPr>
        <w:autoSpaceDE w:val="0"/>
        <w:autoSpaceDN w:val="0"/>
        <w:adjustRightInd w:val="0"/>
        <w:jc w:val="both"/>
        <w:rPr>
          <w:rFonts w:cstheme="minorHAnsi"/>
          <w:sz w:val="22"/>
          <w:szCs w:val="22"/>
        </w:rPr>
      </w:pPr>
    </w:p>
    <w:p w14:paraId="58C6DDA4" w14:textId="77777777" w:rsidR="00FB40E2" w:rsidRPr="00793D4C" w:rsidRDefault="00FB40E2" w:rsidP="00793D4C">
      <w:pPr>
        <w:autoSpaceDE w:val="0"/>
        <w:autoSpaceDN w:val="0"/>
        <w:adjustRightInd w:val="0"/>
        <w:jc w:val="both"/>
        <w:rPr>
          <w:rFonts w:cstheme="minorHAnsi"/>
          <w:b/>
          <w:sz w:val="22"/>
          <w:szCs w:val="22"/>
        </w:rPr>
      </w:pPr>
      <w:r w:rsidRPr="00793D4C">
        <w:rPr>
          <w:rFonts w:cstheme="minorHAnsi"/>
          <w:b/>
          <w:sz w:val="22"/>
          <w:szCs w:val="22"/>
        </w:rPr>
        <w:t xml:space="preserve">Dates limites d’envoie des dossiers : le </w:t>
      </w:r>
      <w:r w:rsidR="003452C9" w:rsidRPr="00793D4C">
        <w:rPr>
          <w:rFonts w:cstheme="minorHAnsi"/>
          <w:b/>
          <w:sz w:val="22"/>
          <w:szCs w:val="22"/>
        </w:rPr>
        <w:t>20 juin 2019</w:t>
      </w:r>
    </w:p>
    <w:p w14:paraId="6031D4B0" w14:textId="77777777" w:rsidR="003452C9" w:rsidRPr="00793D4C" w:rsidRDefault="003452C9" w:rsidP="00793D4C">
      <w:pPr>
        <w:autoSpaceDE w:val="0"/>
        <w:autoSpaceDN w:val="0"/>
        <w:adjustRightInd w:val="0"/>
        <w:jc w:val="both"/>
        <w:rPr>
          <w:rFonts w:cstheme="minorHAnsi"/>
          <w:sz w:val="22"/>
          <w:szCs w:val="22"/>
        </w:rPr>
      </w:pPr>
      <w:r w:rsidRPr="00793D4C">
        <w:rPr>
          <w:rFonts w:cstheme="minorHAnsi"/>
          <w:sz w:val="22"/>
          <w:szCs w:val="22"/>
        </w:rPr>
        <w:t xml:space="preserve">Des entretiens seront organisés avec les candidats et candidates retenues au cours de la première quinzaine de juillet. </w:t>
      </w:r>
    </w:p>
    <w:p w14:paraId="72B9444B" w14:textId="77777777" w:rsidR="003452C9" w:rsidRPr="00793D4C" w:rsidRDefault="003452C9" w:rsidP="00793D4C">
      <w:pPr>
        <w:autoSpaceDE w:val="0"/>
        <w:autoSpaceDN w:val="0"/>
        <w:adjustRightInd w:val="0"/>
        <w:jc w:val="both"/>
        <w:rPr>
          <w:rFonts w:cstheme="minorHAnsi"/>
          <w:sz w:val="22"/>
          <w:szCs w:val="22"/>
        </w:rPr>
      </w:pPr>
    </w:p>
    <w:p w14:paraId="487DE1B7" w14:textId="77777777" w:rsidR="003452C9" w:rsidRPr="00793D4C" w:rsidRDefault="003452C9" w:rsidP="00793D4C">
      <w:pPr>
        <w:autoSpaceDE w:val="0"/>
        <w:autoSpaceDN w:val="0"/>
        <w:adjustRightInd w:val="0"/>
        <w:jc w:val="both"/>
        <w:rPr>
          <w:rFonts w:cstheme="minorHAnsi"/>
          <w:b/>
          <w:sz w:val="22"/>
          <w:szCs w:val="22"/>
          <w:u w:val="single"/>
        </w:rPr>
      </w:pPr>
      <w:r w:rsidRPr="00793D4C">
        <w:rPr>
          <w:rFonts w:cstheme="minorHAnsi"/>
          <w:b/>
          <w:sz w:val="22"/>
          <w:szCs w:val="22"/>
          <w:u w:val="single"/>
        </w:rPr>
        <w:t xml:space="preserve">Dossier de candidature : </w:t>
      </w:r>
    </w:p>
    <w:p w14:paraId="2048F5AF" w14:textId="77777777" w:rsidR="003452C9" w:rsidRPr="00793D4C" w:rsidRDefault="003452C9" w:rsidP="00793D4C">
      <w:pPr>
        <w:autoSpaceDE w:val="0"/>
        <w:autoSpaceDN w:val="0"/>
        <w:adjustRightInd w:val="0"/>
        <w:jc w:val="both"/>
        <w:rPr>
          <w:rFonts w:cstheme="minorHAnsi"/>
          <w:sz w:val="22"/>
          <w:szCs w:val="22"/>
        </w:rPr>
      </w:pPr>
      <w:r w:rsidRPr="00793D4C">
        <w:rPr>
          <w:rFonts w:cstheme="minorHAnsi"/>
          <w:sz w:val="22"/>
          <w:szCs w:val="22"/>
        </w:rPr>
        <w:t xml:space="preserve">- Lettre de motivation montrant l’appropriation personnelle de cette recherche doctorale </w:t>
      </w:r>
    </w:p>
    <w:p w14:paraId="2A060A00" w14:textId="77777777" w:rsidR="003452C9" w:rsidRPr="00793D4C" w:rsidRDefault="003452C9" w:rsidP="00793D4C">
      <w:pPr>
        <w:autoSpaceDE w:val="0"/>
        <w:autoSpaceDN w:val="0"/>
        <w:adjustRightInd w:val="0"/>
        <w:jc w:val="both"/>
        <w:rPr>
          <w:rFonts w:cstheme="minorHAnsi"/>
          <w:sz w:val="22"/>
          <w:szCs w:val="22"/>
        </w:rPr>
      </w:pPr>
      <w:r w:rsidRPr="00793D4C">
        <w:rPr>
          <w:rFonts w:cstheme="minorHAnsi"/>
          <w:sz w:val="22"/>
          <w:szCs w:val="22"/>
        </w:rPr>
        <w:t>- Curriculum Vitae détaillé</w:t>
      </w:r>
    </w:p>
    <w:p w14:paraId="44BA6A28" w14:textId="77777777" w:rsidR="003452C9" w:rsidRPr="00793D4C" w:rsidRDefault="003452C9" w:rsidP="00793D4C">
      <w:pPr>
        <w:autoSpaceDE w:val="0"/>
        <w:autoSpaceDN w:val="0"/>
        <w:adjustRightInd w:val="0"/>
        <w:jc w:val="both"/>
        <w:rPr>
          <w:rFonts w:cstheme="minorHAnsi"/>
          <w:sz w:val="22"/>
          <w:szCs w:val="22"/>
        </w:rPr>
      </w:pPr>
      <w:r w:rsidRPr="00793D4C">
        <w:rPr>
          <w:rFonts w:cstheme="minorHAnsi"/>
          <w:sz w:val="22"/>
          <w:szCs w:val="22"/>
        </w:rPr>
        <w:t>- Copies des diplômes et relevés de notes du M1 et du M2</w:t>
      </w:r>
    </w:p>
    <w:p w14:paraId="3E87574C" w14:textId="77777777" w:rsidR="003452C9" w:rsidRPr="00793D4C" w:rsidRDefault="003452C9" w:rsidP="00793D4C">
      <w:pPr>
        <w:autoSpaceDE w:val="0"/>
        <w:autoSpaceDN w:val="0"/>
        <w:adjustRightInd w:val="0"/>
        <w:jc w:val="both"/>
        <w:rPr>
          <w:rFonts w:cstheme="minorHAnsi"/>
          <w:sz w:val="22"/>
          <w:szCs w:val="22"/>
        </w:rPr>
      </w:pPr>
      <w:r w:rsidRPr="00793D4C">
        <w:rPr>
          <w:rFonts w:cstheme="minorHAnsi"/>
          <w:sz w:val="22"/>
          <w:szCs w:val="22"/>
        </w:rPr>
        <w:t>- Copie du mémoire de M2 (ou si non terminé du M1)</w:t>
      </w:r>
    </w:p>
    <w:p w14:paraId="692CE57C" w14:textId="77777777" w:rsidR="003452C9" w:rsidRPr="00793D4C" w:rsidRDefault="003452C9" w:rsidP="00793D4C">
      <w:pPr>
        <w:autoSpaceDE w:val="0"/>
        <w:autoSpaceDN w:val="0"/>
        <w:adjustRightInd w:val="0"/>
        <w:jc w:val="both"/>
        <w:rPr>
          <w:rFonts w:cstheme="minorHAnsi"/>
          <w:sz w:val="22"/>
          <w:szCs w:val="22"/>
        </w:rPr>
      </w:pPr>
      <w:r w:rsidRPr="00793D4C">
        <w:rPr>
          <w:rFonts w:cstheme="minorHAnsi"/>
          <w:sz w:val="22"/>
          <w:szCs w:val="22"/>
        </w:rPr>
        <w:t xml:space="preserve">- </w:t>
      </w:r>
      <w:r w:rsidR="00845D5F">
        <w:rPr>
          <w:rFonts w:cstheme="minorHAnsi"/>
          <w:sz w:val="22"/>
          <w:szCs w:val="22"/>
        </w:rPr>
        <w:t>Une</w:t>
      </w:r>
      <w:r w:rsidR="00640633" w:rsidRPr="00793D4C">
        <w:rPr>
          <w:rFonts w:cstheme="minorHAnsi"/>
          <w:sz w:val="22"/>
          <w:szCs w:val="22"/>
        </w:rPr>
        <w:t xml:space="preserve"> </w:t>
      </w:r>
      <w:r w:rsidRPr="00793D4C">
        <w:rPr>
          <w:rFonts w:cstheme="minorHAnsi"/>
          <w:sz w:val="22"/>
          <w:szCs w:val="22"/>
        </w:rPr>
        <w:t xml:space="preserve">lettre de recommandation d’un enseignant chercheur </w:t>
      </w:r>
    </w:p>
    <w:p w14:paraId="7A6CAEF1" w14:textId="77777777" w:rsidR="003452C9" w:rsidRPr="00793D4C" w:rsidRDefault="003452C9" w:rsidP="00793D4C">
      <w:pPr>
        <w:autoSpaceDE w:val="0"/>
        <w:autoSpaceDN w:val="0"/>
        <w:adjustRightInd w:val="0"/>
        <w:jc w:val="both"/>
        <w:rPr>
          <w:rFonts w:cstheme="minorHAnsi"/>
          <w:sz w:val="22"/>
          <w:szCs w:val="22"/>
        </w:rPr>
      </w:pPr>
      <w:r w:rsidRPr="00793D4C">
        <w:rPr>
          <w:rFonts w:cstheme="minorHAnsi"/>
          <w:sz w:val="22"/>
          <w:szCs w:val="22"/>
        </w:rPr>
        <w:t>- Tout autre document ou réalisation appuyant la candidature (articles, rapports etc…)</w:t>
      </w:r>
    </w:p>
    <w:p w14:paraId="36805F25" w14:textId="77777777" w:rsidR="00F34C79" w:rsidRPr="00793D4C" w:rsidRDefault="00F34C79" w:rsidP="00793D4C">
      <w:pPr>
        <w:jc w:val="both"/>
        <w:rPr>
          <w:rFonts w:cstheme="minorHAnsi"/>
          <w:sz w:val="22"/>
          <w:szCs w:val="22"/>
        </w:rPr>
      </w:pPr>
    </w:p>
    <w:p w14:paraId="75CED133" w14:textId="77777777" w:rsidR="00F34C79" w:rsidRPr="00793D4C" w:rsidRDefault="00F34C79" w:rsidP="00793D4C">
      <w:pPr>
        <w:jc w:val="both"/>
        <w:rPr>
          <w:rFonts w:cstheme="minorHAnsi"/>
          <w:sz w:val="22"/>
          <w:szCs w:val="22"/>
        </w:rPr>
      </w:pPr>
    </w:p>
    <w:p w14:paraId="1A3C8BAA" w14:textId="77777777" w:rsidR="00F34C79" w:rsidRPr="00793D4C" w:rsidRDefault="00F34C79" w:rsidP="00793D4C">
      <w:pPr>
        <w:jc w:val="both"/>
        <w:rPr>
          <w:rFonts w:cstheme="minorHAnsi"/>
          <w:sz w:val="22"/>
          <w:szCs w:val="22"/>
          <w:u w:val="single"/>
        </w:rPr>
      </w:pPr>
      <w:r w:rsidRPr="00793D4C">
        <w:rPr>
          <w:rFonts w:cstheme="minorHAnsi"/>
          <w:sz w:val="22"/>
          <w:szCs w:val="22"/>
          <w:u w:val="single"/>
        </w:rPr>
        <w:t xml:space="preserve">Références </w:t>
      </w:r>
    </w:p>
    <w:p w14:paraId="1FC6AF3C" w14:textId="77777777" w:rsidR="007D2EA6" w:rsidRDefault="007D2EA6" w:rsidP="00793D4C">
      <w:pPr>
        <w:jc w:val="both"/>
        <w:rPr>
          <w:rFonts w:cstheme="minorHAnsi"/>
          <w:sz w:val="22"/>
          <w:szCs w:val="22"/>
        </w:rPr>
      </w:pPr>
    </w:p>
    <w:p w14:paraId="243D464C" w14:textId="77777777" w:rsidR="00422CD8" w:rsidRDefault="00422CD8" w:rsidP="00793D4C">
      <w:pPr>
        <w:jc w:val="both"/>
        <w:rPr>
          <w:rFonts w:cstheme="minorHAnsi"/>
          <w:sz w:val="22"/>
          <w:szCs w:val="22"/>
        </w:rPr>
      </w:pPr>
      <w:r>
        <w:rPr>
          <w:rFonts w:cstheme="minorHAnsi"/>
          <w:sz w:val="22"/>
          <w:szCs w:val="22"/>
        </w:rPr>
        <w:t xml:space="preserve">- </w:t>
      </w:r>
      <w:proofErr w:type="spellStart"/>
      <w:r w:rsidRPr="00422CD8">
        <w:rPr>
          <w:rFonts w:cstheme="minorHAnsi"/>
          <w:sz w:val="22"/>
          <w:szCs w:val="22"/>
        </w:rPr>
        <w:t>Bartout</w:t>
      </w:r>
      <w:proofErr w:type="spellEnd"/>
      <w:r w:rsidRPr="00422CD8">
        <w:rPr>
          <w:rFonts w:cstheme="minorHAnsi"/>
          <w:sz w:val="22"/>
          <w:szCs w:val="22"/>
        </w:rPr>
        <w:t xml:space="preserve"> Pascal, </w:t>
      </w:r>
      <w:proofErr w:type="spellStart"/>
      <w:r w:rsidRPr="00422CD8">
        <w:rPr>
          <w:rFonts w:cstheme="minorHAnsi"/>
          <w:sz w:val="22"/>
          <w:szCs w:val="22"/>
        </w:rPr>
        <w:t>Touchart</w:t>
      </w:r>
      <w:proofErr w:type="spellEnd"/>
      <w:r w:rsidRPr="00422CD8">
        <w:rPr>
          <w:rFonts w:cstheme="minorHAnsi"/>
          <w:sz w:val="22"/>
          <w:szCs w:val="22"/>
        </w:rPr>
        <w:t xml:space="preserve"> Laurent, « L'inventaire des plans d'eau français : outil d'une meilleure gestion des eaux de surface », </w:t>
      </w:r>
      <w:r w:rsidRPr="00422CD8">
        <w:rPr>
          <w:rFonts w:cstheme="minorHAnsi"/>
          <w:i/>
          <w:iCs/>
          <w:sz w:val="22"/>
          <w:szCs w:val="22"/>
        </w:rPr>
        <w:t>Annales de géographie</w:t>
      </w:r>
      <w:r w:rsidRPr="00422CD8">
        <w:rPr>
          <w:rFonts w:cstheme="minorHAnsi"/>
          <w:sz w:val="22"/>
          <w:szCs w:val="22"/>
        </w:rPr>
        <w:t xml:space="preserve">, 2013/3 (n° 691), p. 266-289. DOI : 10.3917/ag.691.0266. URL : https://www-cairn-info.ezproxy.unilim.fr/revue-annales-de-geographie-2013-3-page-266.htm </w:t>
      </w:r>
    </w:p>
    <w:p w14:paraId="5DBE9F9C" w14:textId="77777777" w:rsidR="00422CD8" w:rsidRPr="001C3A94" w:rsidRDefault="00422CD8" w:rsidP="00793D4C">
      <w:pPr>
        <w:jc w:val="both"/>
        <w:rPr>
          <w:rFonts w:cstheme="minorHAnsi"/>
          <w:sz w:val="22"/>
          <w:szCs w:val="22"/>
          <w:lang w:val="en-US"/>
        </w:rPr>
      </w:pPr>
      <w:r>
        <w:rPr>
          <w:rFonts w:cstheme="minorHAnsi"/>
          <w:sz w:val="22"/>
          <w:szCs w:val="22"/>
        </w:rPr>
        <w:t>-</w:t>
      </w:r>
      <w:r w:rsidRPr="00422CD8">
        <w:rPr>
          <w:rFonts w:ascii="Times New Roman" w:eastAsia="Times New Roman" w:hAnsi="Times New Roman" w:cs="Times New Roman"/>
          <w:b/>
          <w:bCs/>
          <w:lang w:eastAsia="fr-FR"/>
        </w:rPr>
        <w:t xml:space="preserve"> </w:t>
      </w:r>
      <w:r w:rsidRPr="001C3A94">
        <w:rPr>
          <w:rFonts w:cstheme="minorHAnsi"/>
          <w:bCs/>
          <w:sz w:val="22"/>
          <w:szCs w:val="22"/>
        </w:rPr>
        <w:t xml:space="preserve">Pascal </w:t>
      </w:r>
      <w:proofErr w:type="spellStart"/>
      <w:r w:rsidRPr="001C3A94">
        <w:rPr>
          <w:rFonts w:cstheme="minorHAnsi"/>
          <w:bCs/>
          <w:sz w:val="22"/>
          <w:szCs w:val="22"/>
        </w:rPr>
        <w:t>Bartout</w:t>
      </w:r>
      <w:proofErr w:type="spellEnd"/>
      <w:r w:rsidRPr="00422CD8">
        <w:rPr>
          <w:rFonts w:cstheme="minorHAnsi"/>
          <w:sz w:val="22"/>
          <w:szCs w:val="22"/>
        </w:rPr>
        <w:t xml:space="preserve">, « Le territoire comme palimpseste </w:t>
      </w:r>
      <w:proofErr w:type="spellStart"/>
      <w:r w:rsidRPr="00422CD8">
        <w:rPr>
          <w:rFonts w:cstheme="minorHAnsi"/>
          <w:sz w:val="22"/>
          <w:szCs w:val="22"/>
        </w:rPr>
        <w:t>lentique</w:t>
      </w:r>
      <w:proofErr w:type="spellEnd"/>
      <w:r w:rsidRPr="00422CD8">
        <w:rPr>
          <w:rFonts w:cstheme="minorHAnsi"/>
          <w:sz w:val="22"/>
          <w:szCs w:val="22"/>
        </w:rPr>
        <w:t xml:space="preserve"> : une vision spatiale </w:t>
      </w:r>
      <w:proofErr w:type="spellStart"/>
      <w:r w:rsidRPr="00422CD8">
        <w:rPr>
          <w:rFonts w:cstheme="minorHAnsi"/>
          <w:sz w:val="22"/>
          <w:szCs w:val="22"/>
        </w:rPr>
        <w:t>géohistorique</w:t>
      </w:r>
      <w:proofErr w:type="spellEnd"/>
      <w:r w:rsidRPr="00422CD8">
        <w:rPr>
          <w:rFonts w:cstheme="minorHAnsi"/>
          <w:sz w:val="22"/>
          <w:szCs w:val="22"/>
        </w:rPr>
        <w:t xml:space="preserve"> des interactions hommes-milieux-plans d’eau », </w:t>
      </w:r>
      <w:r w:rsidRPr="00422CD8">
        <w:rPr>
          <w:rFonts w:cstheme="minorHAnsi"/>
          <w:i/>
          <w:iCs/>
          <w:sz w:val="22"/>
          <w:szCs w:val="22"/>
        </w:rPr>
        <w:t>Revue Géographique de l'Est</w:t>
      </w:r>
      <w:r w:rsidRPr="00422CD8">
        <w:rPr>
          <w:rFonts w:cstheme="minorHAnsi"/>
          <w:sz w:val="22"/>
          <w:szCs w:val="22"/>
        </w:rPr>
        <w:t xml:space="preserve"> [En ligne], vol.56 / n°1-2 | 2016, mis en ligne le 25 août 2016, consulté le 26 mai 2019. </w:t>
      </w:r>
      <w:proofErr w:type="gramStart"/>
      <w:r w:rsidRPr="001C3A94">
        <w:rPr>
          <w:rFonts w:cstheme="minorHAnsi"/>
          <w:sz w:val="22"/>
          <w:szCs w:val="22"/>
          <w:lang w:val="en-US"/>
        </w:rPr>
        <w:t>URL :</w:t>
      </w:r>
      <w:proofErr w:type="gramEnd"/>
      <w:r w:rsidRPr="001C3A94">
        <w:rPr>
          <w:rFonts w:cstheme="minorHAnsi"/>
          <w:sz w:val="22"/>
          <w:szCs w:val="22"/>
          <w:lang w:val="en-US"/>
        </w:rPr>
        <w:t xml:space="preserve"> http://journals.openedition.org.inee.bib.cnrs.fr/rge/5723</w:t>
      </w:r>
    </w:p>
    <w:p w14:paraId="74FE00E1" w14:textId="77777777" w:rsidR="00B6279D" w:rsidRPr="00793D4C" w:rsidRDefault="00793D4C" w:rsidP="00793D4C">
      <w:pPr>
        <w:autoSpaceDE w:val="0"/>
        <w:autoSpaceDN w:val="0"/>
        <w:adjustRightInd w:val="0"/>
        <w:jc w:val="both"/>
        <w:rPr>
          <w:rFonts w:cstheme="minorHAnsi"/>
          <w:sz w:val="22"/>
          <w:szCs w:val="22"/>
        </w:rPr>
      </w:pPr>
      <w:r w:rsidRPr="00793D4C">
        <w:rPr>
          <w:rFonts w:cstheme="minorHAnsi"/>
          <w:sz w:val="22"/>
          <w:szCs w:val="22"/>
        </w:rPr>
        <w:t xml:space="preserve">- </w:t>
      </w:r>
      <w:proofErr w:type="spellStart"/>
      <w:r w:rsidR="00B6279D" w:rsidRPr="00793D4C">
        <w:rPr>
          <w:rFonts w:cstheme="minorHAnsi"/>
          <w:sz w:val="22"/>
          <w:szCs w:val="22"/>
        </w:rPr>
        <w:t>Davodeau</w:t>
      </w:r>
      <w:proofErr w:type="spellEnd"/>
      <w:r w:rsidR="00B6279D" w:rsidRPr="00793D4C">
        <w:rPr>
          <w:rFonts w:cstheme="minorHAnsi"/>
          <w:sz w:val="22"/>
          <w:szCs w:val="22"/>
        </w:rPr>
        <w:t xml:space="preserve"> H. et Barraud R., « Quelle position adopter face au patrimoine qui vient ? », </w:t>
      </w:r>
      <w:r w:rsidR="00B6279D" w:rsidRPr="00793D4C">
        <w:rPr>
          <w:rFonts w:cstheme="minorHAnsi"/>
          <w:i/>
          <w:iCs/>
          <w:sz w:val="22"/>
          <w:szCs w:val="22"/>
        </w:rPr>
        <w:t xml:space="preserve">Développement durable et territoires </w:t>
      </w:r>
      <w:r w:rsidR="00B6279D" w:rsidRPr="00793D4C">
        <w:rPr>
          <w:rFonts w:cstheme="minorHAnsi"/>
          <w:sz w:val="22"/>
          <w:szCs w:val="22"/>
        </w:rPr>
        <w:t>[En ligne], Vol. 9, n°2 | Juin 2018, mis en ligne le 15 juin 2018, consulté le 14 mai 2019. URL : http://journals.openedition.org/developpementdurable/12277 ; DOI :</w:t>
      </w:r>
    </w:p>
    <w:p w14:paraId="4F74B671" w14:textId="77777777" w:rsidR="00B6279D" w:rsidRPr="00793D4C" w:rsidRDefault="00B6279D" w:rsidP="00793D4C">
      <w:pPr>
        <w:jc w:val="both"/>
        <w:rPr>
          <w:rFonts w:cstheme="minorHAnsi"/>
          <w:sz w:val="22"/>
          <w:szCs w:val="22"/>
        </w:rPr>
      </w:pPr>
      <w:r w:rsidRPr="00793D4C">
        <w:rPr>
          <w:rFonts w:cstheme="minorHAnsi"/>
          <w:sz w:val="22"/>
          <w:szCs w:val="22"/>
        </w:rPr>
        <w:t>10.4000/developpementdurable.12277</w:t>
      </w:r>
    </w:p>
    <w:p w14:paraId="4B87ECE2" w14:textId="77777777" w:rsidR="007D2EA6" w:rsidRPr="00793D4C" w:rsidRDefault="00793D4C" w:rsidP="00793D4C">
      <w:pPr>
        <w:jc w:val="both"/>
        <w:rPr>
          <w:rFonts w:cstheme="minorHAnsi"/>
          <w:sz w:val="22"/>
          <w:szCs w:val="22"/>
          <w:lang w:val="en-US"/>
        </w:rPr>
      </w:pPr>
      <w:r w:rsidRPr="001C3A94">
        <w:rPr>
          <w:rFonts w:cstheme="minorHAnsi"/>
          <w:sz w:val="22"/>
          <w:szCs w:val="22"/>
        </w:rPr>
        <w:t xml:space="preserve">- </w:t>
      </w:r>
      <w:r w:rsidR="007D2EA6" w:rsidRPr="001C3A94">
        <w:rPr>
          <w:rFonts w:cstheme="minorHAnsi"/>
          <w:sz w:val="22"/>
          <w:szCs w:val="22"/>
        </w:rPr>
        <w:t xml:space="preserve">Ingold, T. 1993. </w:t>
      </w:r>
      <w:r w:rsidR="007D2EA6" w:rsidRPr="00793D4C">
        <w:rPr>
          <w:rFonts w:cstheme="minorHAnsi"/>
          <w:sz w:val="22"/>
          <w:szCs w:val="22"/>
          <w:lang w:val="en-US"/>
        </w:rPr>
        <w:t xml:space="preserve">Globes and Spheres: The topology of environmentalism. In </w:t>
      </w:r>
      <w:r w:rsidR="007D2EA6" w:rsidRPr="00793D4C">
        <w:rPr>
          <w:rFonts w:cstheme="minorHAnsi"/>
          <w:i/>
          <w:iCs/>
          <w:sz w:val="22"/>
          <w:szCs w:val="22"/>
          <w:lang w:val="en-US"/>
        </w:rPr>
        <w:t xml:space="preserve">Environmentalism: The View from Anthropology, </w:t>
      </w:r>
      <w:r w:rsidR="007D2EA6" w:rsidRPr="00793D4C">
        <w:rPr>
          <w:rFonts w:cstheme="minorHAnsi"/>
          <w:sz w:val="22"/>
          <w:szCs w:val="22"/>
          <w:lang w:val="en-US"/>
        </w:rPr>
        <w:t>ed. Kay Milton, 31-42. London and New York: Rutledge.</w:t>
      </w:r>
    </w:p>
    <w:p w14:paraId="38978028" w14:textId="77777777" w:rsidR="007D2EA6" w:rsidRPr="00793D4C" w:rsidRDefault="00793D4C" w:rsidP="00793D4C">
      <w:pPr>
        <w:jc w:val="both"/>
        <w:rPr>
          <w:rFonts w:cstheme="minorHAnsi"/>
          <w:sz w:val="22"/>
          <w:szCs w:val="22"/>
          <w:lang w:val="en-US"/>
        </w:rPr>
      </w:pPr>
      <w:r w:rsidRPr="00793D4C">
        <w:rPr>
          <w:rFonts w:cstheme="minorHAnsi"/>
          <w:sz w:val="22"/>
          <w:szCs w:val="22"/>
          <w:lang w:val="en-US"/>
        </w:rPr>
        <w:t xml:space="preserve">- </w:t>
      </w:r>
      <w:r w:rsidR="007D2EA6" w:rsidRPr="00793D4C">
        <w:rPr>
          <w:rFonts w:cstheme="minorHAnsi"/>
          <w:sz w:val="22"/>
          <w:szCs w:val="22"/>
          <w:lang w:val="en-US"/>
        </w:rPr>
        <w:t xml:space="preserve">Ingold, T. 2000. </w:t>
      </w:r>
      <w:r w:rsidR="007D2EA6" w:rsidRPr="00793D4C">
        <w:rPr>
          <w:rFonts w:cstheme="minorHAnsi"/>
          <w:i/>
          <w:iCs/>
          <w:sz w:val="22"/>
          <w:szCs w:val="22"/>
          <w:lang w:val="en-US"/>
        </w:rPr>
        <w:t>The Perception of the Environment</w:t>
      </w:r>
      <w:r w:rsidR="007D2EA6" w:rsidRPr="00793D4C">
        <w:rPr>
          <w:rFonts w:cstheme="minorHAnsi"/>
          <w:sz w:val="22"/>
          <w:szCs w:val="22"/>
          <w:lang w:val="en-US"/>
        </w:rPr>
        <w:t>.</w:t>
      </w:r>
      <w:r w:rsidR="007D2EA6" w:rsidRPr="00793D4C">
        <w:rPr>
          <w:rFonts w:cstheme="minorHAnsi"/>
          <w:i/>
          <w:iCs/>
          <w:sz w:val="22"/>
          <w:szCs w:val="22"/>
          <w:lang w:val="en-US"/>
        </w:rPr>
        <w:t xml:space="preserve"> </w:t>
      </w:r>
      <w:r w:rsidR="007D2EA6" w:rsidRPr="00793D4C">
        <w:rPr>
          <w:rFonts w:cstheme="minorHAnsi"/>
          <w:sz w:val="22"/>
          <w:szCs w:val="22"/>
          <w:lang w:val="en-US"/>
        </w:rPr>
        <w:t>London and New York: Routledge.</w:t>
      </w:r>
    </w:p>
    <w:p w14:paraId="271C4125" w14:textId="77777777" w:rsidR="00B6279D" w:rsidRPr="00793D4C" w:rsidRDefault="00793D4C" w:rsidP="00793D4C">
      <w:pPr>
        <w:jc w:val="both"/>
        <w:rPr>
          <w:rFonts w:cstheme="minorHAnsi"/>
          <w:sz w:val="22"/>
          <w:szCs w:val="22"/>
        </w:rPr>
      </w:pPr>
      <w:r w:rsidRPr="00793D4C">
        <w:rPr>
          <w:rFonts w:cstheme="minorHAnsi"/>
          <w:sz w:val="22"/>
          <w:szCs w:val="22"/>
        </w:rPr>
        <w:t xml:space="preserve">- </w:t>
      </w:r>
      <w:r w:rsidR="00B6279D" w:rsidRPr="00793D4C">
        <w:rPr>
          <w:rFonts w:cstheme="minorHAnsi"/>
          <w:sz w:val="22"/>
          <w:szCs w:val="22"/>
        </w:rPr>
        <w:t xml:space="preserve">Moreau C., 2019. Mettre en débat l’état de référence. Analyse des représentations des dynamiques paysagères au prisme des services écosystémiques : l’exemple du Mont Lozère, Thèse de géographie de l’université de Montpelliers. </w:t>
      </w:r>
    </w:p>
    <w:p w14:paraId="01FBEE47" w14:textId="77777777" w:rsidR="00B6279D" w:rsidRDefault="00B6279D" w:rsidP="00793D4C">
      <w:pPr>
        <w:autoSpaceDE w:val="0"/>
        <w:autoSpaceDN w:val="0"/>
        <w:adjustRightInd w:val="0"/>
      </w:pPr>
    </w:p>
    <w:sectPr w:rsidR="00B6279D" w:rsidSect="004B5F16">
      <w:pgSz w:w="11900" w:h="16840" w:code="9"/>
      <w:pgMar w:top="1417" w:right="1417" w:bottom="1417" w:left="1417"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4754F"/>
    <w:multiLevelType w:val="hybridMultilevel"/>
    <w:tmpl w:val="35F69D8E"/>
    <w:lvl w:ilvl="0" w:tplc="F704F08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F16"/>
    <w:rsid w:val="0004461C"/>
    <w:rsid w:val="000851CF"/>
    <w:rsid w:val="000F4490"/>
    <w:rsid w:val="00132475"/>
    <w:rsid w:val="0014536A"/>
    <w:rsid w:val="001841A6"/>
    <w:rsid w:val="001A0F97"/>
    <w:rsid w:val="001C022E"/>
    <w:rsid w:val="001C3A94"/>
    <w:rsid w:val="001E3778"/>
    <w:rsid w:val="002F00C2"/>
    <w:rsid w:val="00311D94"/>
    <w:rsid w:val="003452C9"/>
    <w:rsid w:val="00422CD8"/>
    <w:rsid w:val="00462813"/>
    <w:rsid w:val="004B5F16"/>
    <w:rsid w:val="00530C49"/>
    <w:rsid w:val="005456A6"/>
    <w:rsid w:val="00640633"/>
    <w:rsid w:val="00660C8C"/>
    <w:rsid w:val="00686127"/>
    <w:rsid w:val="00736309"/>
    <w:rsid w:val="0078288B"/>
    <w:rsid w:val="00793D4C"/>
    <w:rsid w:val="007D2EA6"/>
    <w:rsid w:val="007E6F16"/>
    <w:rsid w:val="0080041F"/>
    <w:rsid w:val="00842CE3"/>
    <w:rsid w:val="00845D5F"/>
    <w:rsid w:val="008866D0"/>
    <w:rsid w:val="008B4002"/>
    <w:rsid w:val="008D2724"/>
    <w:rsid w:val="0091462C"/>
    <w:rsid w:val="009738EA"/>
    <w:rsid w:val="00A31223"/>
    <w:rsid w:val="00A94DB4"/>
    <w:rsid w:val="00AE57AA"/>
    <w:rsid w:val="00AF22A0"/>
    <w:rsid w:val="00B6279D"/>
    <w:rsid w:val="00BB665B"/>
    <w:rsid w:val="00BB75D9"/>
    <w:rsid w:val="00BF0A81"/>
    <w:rsid w:val="00C564E0"/>
    <w:rsid w:val="00C77DD4"/>
    <w:rsid w:val="00CC0782"/>
    <w:rsid w:val="00D37C60"/>
    <w:rsid w:val="00D93C3B"/>
    <w:rsid w:val="00DB6C1D"/>
    <w:rsid w:val="00E9174B"/>
    <w:rsid w:val="00EE1936"/>
    <w:rsid w:val="00EF6224"/>
    <w:rsid w:val="00F21F11"/>
    <w:rsid w:val="00F34C79"/>
    <w:rsid w:val="00F6209E"/>
    <w:rsid w:val="00FB40E2"/>
    <w:rsid w:val="00FD369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A9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9174B"/>
    <w:rPr>
      <w:i/>
      <w:iCs/>
    </w:rPr>
  </w:style>
  <w:style w:type="character" w:styleId="CommentReference">
    <w:name w:val="annotation reference"/>
    <w:basedOn w:val="DefaultParagraphFont"/>
    <w:uiPriority w:val="99"/>
    <w:semiHidden/>
    <w:unhideWhenUsed/>
    <w:rsid w:val="008866D0"/>
    <w:rPr>
      <w:sz w:val="18"/>
      <w:szCs w:val="18"/>
    </w:rPr>
  </w:style>
  <w:style w:type="paragraph" w:styleId="CommentText">
    <w:name w:val="annotation text"/>
    <w:basedOn w:val="Normal"/>
    <w:link w:val="CommentTextChar"/>
    <w:uiPriority w:val="99"/>
    <w:semiHidden/>
    <w:unhideWhenUsed/>
    <w:rsid w:val="008866D0"/>
  </w:style>
  <w:style w:type="character" w:customStyle="1" w:styleId="CommentTextChar">
    <w:name w:val="Comment Text Char"/>
    <w:basedOn w:val="DefaultParagraphFont"/>
    <w:link w:val="CommentText"/>
    <w:uiPriority w:val="99"/>
    <w:semiHidden/>
    <w:rsid w:val="008866D0"/>
  </w:style>
  <w:style w:type="paragraph" w:styleId="CommentSubject">
    <w:name w:val="annotation subject"/>
    <w:basedOn w:val="CommentText"/>
    <w:next w:val="CommentText"/>
    <w:link w:val="CommentSubjectChar"/>
    <w:uiPriority w:val="99"/>
    <w:semiHidden/>
    <w:unhideWhenUsed/>
    <w:rsid w:val="008866D0"/>
    <w:rPr>
      <w:b/>
      <w:bCs/>
      <w:sz w:val="20"/>
      <w:szCs w:val="20"/>
    </w:rPr>
  </w:style>
  <w:style w:type="character" w:customStyle="1" w:styleId="CommentSubjectChar">
    <w:name w:val="Comment Subject Char"/>
    <w:basedOn w:val="CommentTextChar"/>
    <w:link w:val="CommentSubject"/>
    <w:uiPriority w:val="99"/>
    <w:semiHidden/>
    <w:rsid w:val="008866D0"/>
    <w:rPr>
      <w:b/>
      <w:bCs/>
      <w:sz w:val="20"/>
      <w:szCs w:val="20"/>
    </w:rPr>
  </w:style>
  <w:style w:type="paragraph" w:styleId="BalloonText">
    <w:name w:val="Balloon Text"/>
    <w:basedOn w:val="Normal"/>
    <w:link w:val="BalloonTextChar"/>
    <w:uiPriority w:val="99"/>
    <w:semiHidden/>
    <w:unhideWhenUsed/>
    <w:rsid w:val="008866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66D0"/>
    <w:rPr>
      <w:rFonts w:ascii="Lucida Grande" w:hAnsi="Lucida Grande" w:cs="Lucida Grande"/>
      <w:sz w:val="18"/>
      <w:szCs w:val="18"/>
    </w:rPr>
  </w:style>
  <w:style w:type="character" w:styleId="Hyperlink">
    <w:name w:val="Hyperlink"/>
    <w:basedOn w:val="DefaultParagraphFont"/>
    <w:uiPriority w:val="99"/>
    <w:unhideWhenUsed/>
    <w:rsid w:val="00462813"/>
    <w:rPr>
      <w:color w:val="0563C1" w:themeColor="hyperlink"/>
      <w:u w:val="single"/>
    </w:rPr>
  </w:style>
  <w:style w:type="character" w:customStyle="1" w:styleId="UnresolvedMention">
    <w:name w:val="Unresolved Mention"/>
    <w:basedOn w:val="DefaultParagraphFont"/>
    <w:uiPriority w:val="99"/>
    <w:semiHidden/>
    <w:unhideWhenUsed/>
    <w:rsid w:val="00422CD8"/>
    <w:rPr>
      <w:color w:val="605E5C"/>
      <w:shd w:val="clear" w:color="auto" w:fill="E1DFDD"/>
    </w:rPr>
  </w:style>
  <w:style w:type="character" w:styleId="FollowedHyperlink">
    <w:name w:val="FollowedHyperlink"/>
    <w:basedOn w:val="DefaultParagraphFont"/>
    <w:uiPriority w:val="99"/>
    <w:semiHidden/>
    <w:unhideWhenUsed/>
    <w:rsid w:val="00422CD8"/>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9174B"/>
    <w:rPr>
      <w:i/>
      <w:iCs/>
    </w:rPr>
  </w:style>
  <w:style w:type="character" w:styleId="CommentReference">
    <w:name w:val="annotation reference"/>
    <w:basedOn w:val="DefaultParagraphFont"/>
    <w:uiPriority w:val="99"/>
    <w:semiHidden/>
    <w:unhideWhenUsed/>
    <w:rsid w:val="008866D0"/>
    <w:rPr>
      <w:sz w:val="18"/>
      <w:szCs w:val="18"/>
    </w:rPr>
  </w:style>
  <w:style w:type="paragraph" w:styleId="CommentText">
    <w:name w:val="annotation text"/>
    <w:basedOn w:val="Normal"/>
    <w:link w:val="CommentTextChar"/>
    <w:uiPriority w:val="99"/>
    <w:semiHidden/>
    <w:unhideWhenUsed/>
    <w:rsid w:val="008866D0"/>
  </w:style>
  <w:style w:type="character" w:customStyle="1" w:styleId="CommentTextChar">
    <w:name w:val="Comment Text Char"/>
    <w:basedOn w:val="DefaultParagraphFont"/>
    <w:link w:val="CommentText"/>
    <w:uiPriority w:val="99"/>
    <w:semiHidden/>
    <w:rsid w:val="008866D0"/>
  </w:style>
  <w:style w:type="paragraph" w:styleId="CommentSubject">
    <w:name w:val="annotation subject"/>
    <w:basedOn w:val="CommentText"/>
    <w:next w:val="CommentText"/>
    <w:link w:val="CommentSubjectChar"/>
    <w:uiPriority w:val="99"/>
    <w:semiHidden/>
    <w:unhideWhenUsed/>
    <w:rsid w:val="008866D0"/>
    <w:rPr>
      <w:b/>
      <w:bCs/>
      <w:sz w:val="20"/>
      <w:szCs w:val="20"/>
    </w:rPr>
  </w:style>
  <w:style w:type="character" w:customStyle="1" w:styleId="CommentSubjectChar">
    <w:name w:val="Comment Subject Char"/>
    <w:basedOn w:val="CommentTextChar"/>
    <w:link w:val="CommentSubject"/>
    <w:uiPriority w:val="99"/>
    <w:semiHidden/>
    <w:rsid w:val="008866D0"/>
    <w:rPr>
      <w:b/>
      <w:bCs/>
      <w:sz w:val="20"/>
      <w:szCs w:val="20"/>
    </w:rPr>
  </w:style>
  <w:style w:type="paragraph" w:styleId="BalloonText">
    <w:name w:val="Balloon Text"/>
    <w:basedOn w:val="Normal"/>
    <w:link w:val="BalloonTextChar"/>
    <w:uiPriority w:val="99"/>
    <w:semiHidden/>
    <w:unhideWhenUsed/>
    <w:rsid w:val="008866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66D0"/>
    <w:rPr>
      <w:rFonts w:ascii="Lucida Grande" w:hAnsi="Lucida Grande" w:cs="Lucida Grande"/>
      <w:sz w:val="18"/>
      <w:szCs w:val="18"/>
    </w:rPr>
  </w:style>
  <w:style w:type="character" w:styleId="Hyperlink">
    <w:name w:val="Hyperlink"/>
    <w:basedOn w:val="DefaultParagraphFont"/>
    <w:uiPriority w:val="99"/>
    <w:unhideWhenUsed/>
    <w:rsid w:val="00462813"/>
    <w:rPr>
      <w:color w:val="0563C1" w:themeColor="hyperlink"/>
      <w:u w:val="single"/>
    </w:rPr>
  </w:style>
  <w:style w:type="character" w:customStyle="1" w:styleId="UnresolvedMention">
    <w:name w:val="Unresolved Mention"/>
    <w:basedOn w:val="DefaultParagraphFont"/>
    <w:uiPriority w:val="99"/>
    <w:semiHidden/>
    <w:unhideWhenUsed/>
    <w:rsid w:val="00422CD8"/>
    <w:rPr>
      <w:color w:val="605E5C"/>
      <w:shd w:val="clear" w:color="auto" w:fill="E1DFDD"/>
    </w:rPr>
  </w:style>
  <w:style w:type="character" w:styleId="FollowedHyperlink">
    <w:name w:val="FollowedHyperlink"/>
    <w:basedOn w:val="DefaultParagraphFont"/>
    <w:uiPriority w:val="99"/>
    <w:semiHidden/>
    <w:unhideWhenUsed/>
    <w:rsid w:val="00422C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491040">
      <w:bodyDiv w:val="1"/>
      <w:marLeft w:val="0"/>
      <w:marRight w:val="0"/>
      <w:marTop w:val="0"/>
      <w:marBottom w:val="0"/>
      <w:divBdr>
        <w:top w:val="none" w:sz="0" w:space="0" w:color="auto"/>
        <w:left w:val="none" w:sz="0" w:space="0" w:color="auto"/>
        <w:bottom w:val="none" w:sz="0" w:space="0" w:color="auto"/>
        <w:right w:val="none" w:sz="0" w:space="0" w:color="auto"/>
      </w:divBdr>
    </w:div>
    <w:div w:id="860239655">
      <w:bodyDiv w:val="1"/>
      <w:marLeft w:val="0"/>
      <w:marRight w:val="0"/>
      <w:marTop w:val="0"/>
      <w:marBottom w:val="0"/>
      <w:divBdr>
        <w:top w:val="none" w:sz="0" w:space="0" w:color="auto"/>
        <w:left w:val="none" w:sz="0" w:space="0" w:color="auto"/>
        <w:bottom w:val="none" w:sz="0" w:space="0" w:color="auto"/>
        <w:right w:val="none" w:sz="0" w:space="0" w:color="auto"/>
      </w:divBdr>
    </w:div>
    <w:div w:id="1183544795">
      <w:bodyDiv w:val="1"/>
      <w:marLeft w:val="0"/>
      <w:marRight w:val="0"/>
      <w:marTop w:val="0"/>
      <w:marBottom w:val="0"/>
      <w:divBdr>
        <w:top w:val="none" w:sz="0" w:space="0" w:color="auto"/>
        <w:left w:val="none" w:sz="0" w:space="0" w:color="auto"/>
        <w:bottom w:val="none" w:sz="0" w:space="0" w:color="auto"/>
        <w:right w:val="none" w:sz="0" w:space="0" w:color="auto"/>
      </w:divBdr>
    </w:div>
    <w:div w:id="1211918336">
      <w:bodyDiv w:val="1"/>
      <w:marLeft w:val="0"/>
      <w:marRight w:val="0"/>
      <w:marTop w:val="0"/>
      <w:marBottom w:val="0"/>
      <w:divBdr>
        <w:top w:val="none" w:sz="0" w:space="0" w:color="auto"/>
        <w:left w:val="none" w:sz="0" w:space="0" w:color="auto"/>
        <w:bottom w:val="none" w:sz="0" w:space="0" w:color="auto"/>
        <w:right w:val="none" w:sz="0" w:space="0" w:color="auto"/>
      </w:divBdr>
    </w:div>
    <w:div w:id="1505390689">
      <w:bodyDiv w:val="1"/>
      <w:marLeft w:val="0"/>
      <w:marRight w:val="0"/>
      <w:marTop w:val="0"/>
      <w:marBottom w:val="0"/>
      <w:divBdr>
        <w:top w:val="none" w:sz="0" w:space="0" w:color="auto"/>
        <w:left w:val="none" w:sz="0" w:space="0" w:color="auto"/>
        <w:bottom w:val="none" w:sz="0" w:space="0" w:color="auto"/>
        <w:right w:val="none" w:sz="0" w:space="0" w:color="auto"/>
      </w:divBdr>
    </w:div>
    <w:div w:id="1564170839">
      <w:bodyDiv w:val="1"/>
      <w:marLeft w:val="0"/>
      <w:marRight w:val="0"/>
      <w:marTop w:val="0"/>
      <w:marBottom w:val="0"/>
      <w:divBdr>
        <w:top w:val="none" w:sz="0" w:space="0" w:color="auto"/>
        <w:left w:val="none" w:sz="0" w:space="0" w:color="auto"/>
        <w:bottom w:val="none" w:sz="0" w:space="0" w:color="auto"/>
        <w:right w:val="none" w:sz="0" w:space="0" w:color="auto"/>
      </w:divBdr>
    </w:div>
    <w:div w:id="205418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ames.linton@unilim.fr" TargetMode="External"/><Relationship Id="rId7" Type="http://schemas.openxmlformats.org/officeDocument/2006/relationships/hyperlink" Target="mailto:laine.chanteloup@unilim.f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1649</Words>
  <Characters>9400</Characters>
  <Application>Microsoft Macintosh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Jamie Linton</cp:lastModifiedBy>
  <cp:revision>2</cp:revision>
  <dcterms:created xsi:type="dcterms:W3CDTF">2019-05-29T14:22:00Z</dcterms:created>
  <dcterms:modified xsi:type="dcterms:W3CDTF">2019-05-29T14:22:00Z</dcterms:modified>
</cp:coreProperties>
</file>